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Title"/>
        <w:widowControl/>
        <w:numPr>
          <w:ilvl w:val="0"/>
          <w:numId w:val="0"/>
        </w:numPr>
        <w:ind w:hanging="0" w:left="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ЗАКЛЮЧЕНИЕ</w:t>
      </w:r>
    </w:p>
    <w:p>
      <w:pPr>
        <w:pStyle w:val="Normal"/>
        <w:jc w:val="center"/>
        <w:rPr>
          <w:rFonts w:ascii="Times New Roman" w:hAnsi="Times New Roman"/>
          <w:sz w:val="28"/>
          <w:szCs w:val="28"/>
        </w:rPr>
      </w:pPr>
      <w:r>
        <w:rPr>
          <w:b/>
          <w:bCs/>
          <w:sz w:val="28"/>
          <w:szCs w:val="28"/>
        </w:rPr>
        <w:t xml:space="preserve">О РЕЗУЛЬТАТАХ ОБЩЕСТВЕННЫХ ОБСУЖДЕНИЙ </w:t>
      </w:r>
    </w:p>
    <w:p>
      <w:pPr>
        <w:pStyle w:val="Normal"/>
        <w:widowControl/>
        <w:bidi w:val="0"/>
        <w:ind w:firstLine="567" w:right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/>
          <w:bCs/>
          <w:color w:val="000000"/>
          <w:sz w:val="28"/>
          <w:szCs w:val="28"/>
        </w:rPr>
        <w:t>по проектам решений о предоставлении разрешения на условно разрешенный вид использования земельных участков</w:t>
      </w:r>
    </w:p>
    <w:p>
      <w:pPr>
        <w:pStyle w:val="Normal"/>
        <w:jc w:val="right"/>
        <w:rPr>
          <w:rFonts w:ascii="Times New Roman" w:hAnsi="Times New Roman"/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bCs/>
          <w:sz w:val="28"/>
          <w:szCs w:val="28"/>
        </w:rPr>
        <w:t>28.09</w:t>
      </w:r>
      <w:r>
        <w:rPr>
          <w:bCs/>
          <w:sz w:val="28"/>
          <w:szCs w:val="28"/>
        </w:rPr>
        <w:t>.2026</w:t>
      </w:r>
    </w:p>
    <w:p>
      <w:pPr>
        <w:pStyle w:val="Normal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Процедура проведения общественных обсуждений </w:t>
      </w:r>
      <w:r>
        <w:rPr>
          <w:rFonts w:cs="Times New Roman"/>
          <w:bCs/>
          <w:color w:val="000000"/>
          <w:sz w:val="28"/>
          <w:szCs w:val="28"/>
        </w:rPr>
        <w:t>по проектам решений о предоставлении разрешения на условно разрешенный вид использования земельных участков</w:t>
      </w:r>
      <w:r>
        <w:rPr>
          <w:sz w:val="28"/>
          <w:szCs w:val="28"/>
        </w:rPr>
        <w:t xml:space="preserve"> осуществлена в соответствии с Градостроительным кодеком Российской Федерации, Уставом города Бердска, решением Совета депутатов города Бердска от 14.04.2022 № 76 «О Порядке организации и проведения в городе Бердске общественных обсуждений и публичных слушаний в соответствии с законодательством о градостроительной деятельности», а также постановлением администрации города Бердс</w:t>
      </w:r>
      <w:r>
        <w:rPr>
          <w:color w:val="000000"/>
          <w:sz w:val="28"/>
          <w:szCs w:val="28"/>
        </w:rPr>
        <w:t xml:space="preserve">ка от </w:t>
      </w:r>
      <w:r>
        <w:rPr>
          <w:color w:val="000000"/>
          <w:sz w:val="28"/>
          <w:szCs w:val="28"/>
        </w:rPr>
        <w:t>07.09</w:t>
      </w:r>
      <w:r>
        <w:rPr>
          <w:color w:val="000000"/>
          <w:sz w:val="28"/>
          <w:szCs w:val="28"/>
        </w:rPr>
        <w:t>.</w:t>
      </w:r>
      <w:r>
        <w:rPr>
          <w:rFonts w:cs="Times New Roman"/>
          <w:color w:val="000000"/>
          <w:sz w:val="28"/>
          <w:szCs w:val="28"/>
        </w:rPr>
        <w:t>2026 № </w:t>
      </w:r>
      <w:r>
        <w:rPr>
          <w:rFonts w:cs="Times New Roman"/>
          <w:color w:val="000000"/>
          <w:sz w:val="28"/>
          <w:szCs w:val="28"/>
        </w:rPr>
        <w:t>3083</w:t>
      </w:r>
      <w:r>
        <w:rPr>
          <w:rFonts w:cs="Times New Roman"/>
          <w:color w:val="000000"/>
          <w:sz w:val="28"/>
          <w:szCs w:val="28"/>
        </w:rPr>
        <w:t xml:space="preserve">/65 </w:t>
      </w:r>
      <w:r>
        <w:rPr>
          <w:sz w:val="28"/>
          <w:szCs w:val="28"/>
        </w:rPr>
        <w:t>«</w:t>
      </w:r>
      <w:r>
        <w:rPr>
          <w:rFonts w:cs="Times New Roman"/>
          <w:color w:val="000000"/>
          <w:sz w:val="28"/>
          <w:szCs w:val="28"/>
        </w:rPr>
        <w:t>О назначении общественных обсуждений по проектам решений о предоставлении разрешения на условно разрешенный вид использования земельных участков</w:t>
      </w:r>
      <w:r>
        <w:rPr>
          <w:sz w:val="28"/>
          <w:szCs w:val="28"/>
        </w:rPr>
        <w:t xml:space="preserve">». </w:t>
      </w:r>
    </w:p>
    <w:p>
      <w:pPr>
        <w:pStyle w:val="ConsTitle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Проекты решений, рассматриваемые на общественных обсуждениях</w:t>
      </w:r>
      <w:r>
        <w:rPr>
          <w:rFonts w:cs="Times New Roman" w:ascii="Times New Roman" w:hAnsi="Times New Roman"/>
          <w:b w:val="false"/>
          <w:sz w:val="28"/>
          <w:szCs w:val="28"/>
        </w:rPr>
        <w:t>:</w:t>
      </w:r>
    </w:p>
    <w:p>
      <w:pPr>
        <w:pStyle w:val="Style20"/>
        <w:widowControl/>
        <w:suppressAutoHyphens w:val="true"/>
        <w:autoSpaceDE w:val="false"/>
        <w:bidi w:val="0"/>
        <w:ind w:firstLine="680" w:left="0" w:right="0"/>
        <w:jc w:val="both"/>
        <w:rPr/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 xml:space="preserve">1) о предоставлении разрешения на условно разрешенный вид использования земельного участка с кадастровым номером </w:t>
      </w:r>
      <w:bookmarkStart w:id="0" w:name="__DdeLink__23_68237997_Копия_1_Копия_1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>54:</w:t>
      </w:r>
      <w:bookmarkEnd w:id="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>32:010117:19, площадью 715 кв.м., расположенного по адресу: Новосибирская обл., г. Бердск, ул. Пушкина, з/у 44 - «Объекты дорожного сервиса» кодовое обозначение 4.9.1;</w:t>
      </w:r>
    </w:p>
    <w:p>
      <w:pPr>
        <w:pStyle w:val="Style20"/>
        <w:widowControl/>
        <w:suppressAutoHyphens w:val="true"/>
        <w:autoSpaceDE w:val="false"/>
        <w:bidi w:val="0"/>
        <w:ind w:firstLine="680" w:left="0" w:right="0"/>
        <w:jc w:val="both"/>
        <w:rPr/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 xml:space="preserve">2) о предоставлении разрешения на условно разрешенный вид использования земельного участка с кадастровым номером </w:t>
      </w:r>
      <w:bookmarkStart w:id="1" w:name="__DdeLink__23_68237997_Копия_1_Копия_1_К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>54:</w:t>
      </w:r>
      <w:bookmarkEnd w:id="1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>32:010817:468, площадью 998 кв.м., расположенного по адресу: Новосибирская обл., г. Бердск, 2220 м на юг от здания Кирпичного завода №1 - «Ремонт автомобилей» кодовое обозначение 4.9.1.4;</w:t>
      </w:r>
    </w:p>
    <w:p>
      <w:pPr>
        <w:pStyle w:val="Style20"/>
        <w:widowControl/>
        <w:suppressAutoHyphens w:val="true"/>
        <w:autoSpaceDE w:val="false"/>
        <w:bidi w:val="0"/>
        <w:ind w:firstLine="680" w:left="0" w:right="0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 xml:space="preserve">3) о предоставлении разрешения на условно разрешенный вид использования земельного участка с кадастровым номером </w:t>
      </w:r>
      <w:bookmarkStart w:id="2" w:name="__DdeLink__23_68237997_Копия_1_Копия_1_1"/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>54:</w:t>
      </w:r>
      <w:bookmarkEnd w:id="2"/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>32:010822:3352, площадью 1 201 кв.м., расположенного по адресу: Новосибирская обл., г. Бердск, жилой район «Раздольный» - «Общественное питание» кодовое обозначение 4.6.</w:t>
      </w:r>
    </w:p>
    <w:p>
      <w:pPr>
        <w:pStyle w:val="Normal"/>
        <w:spacing w:before="0" w:after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b/>
          <w:sz w:val="28"/>
          <w:szCs w:val="28"/>
        </w:rPr>
        <w:t xml:space="preserve">Участники общественных обсуждений: </w:t>
      </w:r>
    </w:p>
    <w:p>
      <w:pPr>
        <w:pStyle w:val="ConsPlusNonformat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Количество участников общественных обсуждений, которые приняли участие в общественных обсуждени</w:t>
      </w:r>
      <w:r>
        <w:rPr>
          <w:rFonts w:cs="Times New Roman" w:ascii="Times New Roman" w:hAnsi="Times New Roman"/>
          <w:color w:val="000000"/>
          <w:sz w:val="28"/>
          <w:szCs w:val="28"/>
        </w:rPr>
        <w:t>ях – 0.</w:t>
      </w:r>
    </w:p>
    <w:p>
      <w:pPr>
        <w:pStyle w:val="ConsPlusNonformat"/>
        <w:widowControl/>
        <w:numPr>
          <w:ilvl w:val="0"/>
          <w:numId w:val="0"/>
        </w:numPr>
        <w:ind w:firstLine="567" w:left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Информирование о проведении общественных обсуждений:</w:t>
      </w:r>
    </w:p>
    <w:p>
      <w:pPr>
        <w:pStyle w:val="S311"/>
        <w:widowControl/>
        <w:suppressAutoHyphens w:val="true"/>
        <w:bidi w:val="0"/>
        <w:spacing w:lineRule="auto" w:line="240"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Постановление администрации города Бердска о назначении общественных обсуждений было размещено на официальном сайте администрации города Бердска www.berdsk.nso.ru. в сети Интернет, опубликовано в печатном и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здании «Официальный вестник органов местного самоуправления города Бердска «Вестник. Бердск» № 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36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(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100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) от 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09.09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.2026, 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в сетевом издании «Вестник-Бердск». Проекты, подлежащие рассмотрению на общественных обсуждениях, и информационные материалы к ним были размещены в федеральной государственной информационной системы «Единый портал государственных и муниципальных услуг (функций)» в разделе «Платформа обратной связи» в информационно-телекоммуникационной сети «Интернет».</w:t>
      </w:r>
    </w:p>
    <w:p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Предложения и замечания участников общественных обсуждений от</w:t>
      </w:r>
      <w:r>
        <w:rPr>
          <w:rFonts w:cs="Times New Roman" w:ascii="Times New Roman" w:hAnsi="Times New Roman"/>
          <w:sz w:val="28"/>
          <w:szCs w:val="28"/>
        </w:rPr>
        <w:t>:</w:t>
      </w:r>
    </w:p>
    <w:p>
      <w:pPr>
        <w:pStyle w:val="ConsPlusNonformat"/>
        <w:ind w:firstLine="567" w:left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1) граждан, являющихся участниками общественных обсуждений и постоянно проживающих на территории, в пределах которой проводятся общественные обсуждения — не поступало;</w:t>
      </w:r>
    </w:p>
    <w:p>
      <w:pPr>
        <w:pStyle w:val="ConsPlusNonformat"/>
        <w:ind w:firstLine="567" w:left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2) иных участников общественных обсуждений или общественных обсуждений, не поступало.</w:t>
      </w:r>
    </w:p>
    <w:p>
      <w:pPr>
        <w:pStyle w:val="ConsPlusNonformat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 результатам общественных обсуждений, после изучения и обобщения материалов обсуждений, на основании протокола общественных обсуждений </w:t>
      </w:r>
      <w:r>
        <w:rPr>
          <w:rFonts w:cs="Times New Roman" w:ascii="Times New Roman" w:hAnsi="Times New Roman"/>
          <w:color w:val="000000"/>
          <w:sz w:val="28"/>
          <w:szCs w:val="28"/>
        </w:rPr>
        <w:t>№ 3</w:t>
      </w:r>
      <w:r>
        <w:rPr>
          <w:rFonts w:cs="Times New Roman" w:ascii="Times New Roman" w:hAnsi="Times New Roman"/>
          <w:color w:val="000000"/>
          <w:sz w:val="28"/>
          <w:szCs w:val="28"/>
        </w:rPr>
        <w:t>5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/26 от </w:t>
      </w:r>
      <w:r>
        <w:rPr>
          <w:rFonts w:cs="Times New Roman" w:ascii="Times New Roman" w:hAnsi="Times New Roman"/>
          <w:color w:val="000000"/>
          <w:sz w:val="28"/>
          <w:szCs w:val="28"/>
        </w:rPr>
        <w:t>28.09</w:t>
      </w:r>
      <w:r>
        <w:rPr>
          <w:rFonts w:cs="Times New Roman" w:ascii="Times New Roman" w:hAnsi="Times New Roman"/>
          <w:color w:val="000000"/>
          <w:sz w:val="28"/>
          <w:szCs w:val="28"/>
        </w:rPr>
        <w:t>.2026</w:t>
      </w:r>
      <w:r>
        <w:rPr>
          <w:rFonts w:cs="Times New Roman" w:ascii="Times New Roman" w:hAnsi="Times New Roman"/>
          <w:sz w:val="28"/>
          <w:szCs w:val="28"/>
        </w:rPr>
        <w:t xml:space="preserve"> подготовлено заключение, содержащее сведения об итогах проведения общественных обсуждений. </w:t>
      </w:r>
    </w:p>
    <w:p>
      <w:pPr>
        <w:pStyle w:val="ConsPlusNonformat"/>
        <w:widowControl/>
        <w:numPr>
          <w:ilvl w:val="0"/>
          <w:numId w:val="0"/>
        </w:numPr>
        <w:ind w:hanging="0" w:left="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Заключение по итогам общественных обсуждений:</w:t>
      </w:r>
    </w:p>
    <w:p>
      <w:pPr>
        <w:pStyle w:val="Normal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1) Общественные обсуждения по вопросам предоставления </w:t>
      </w:r>
      <w:r>
        <w:rPr>
          <w:rFonts w:cs="Times New Roman"/>
          <w:bCs/>
          <w:color w:val="000000"/>
          <w:sz w:val="28"/>
          <w:szCs w:val="28"/>
        </w:rPr>
        <w:t>разрешения на условно разрешенный вид использования земельных участков</w:t>
      </w:r>
      <w:r>
        <w:rPr>
          <w:color w:val="000000"/>
          <w:sz w:val="28"/>
          <w:szCs w:val="28"/>
        </w:rPr>
        <w:t xml:space="preserve"> признаны состоявшимися.</w:t>
      </w:r>
    </w:p>
    <w:p>
      <w:pPr>
        <w:pStyle w:val="Normal"/>
        <w:spacing w:before="0" w:after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2) Рассмотреть проекты решений на комиссии по подготовке проекта Правил землепользования и застройки муниципального образования города Бердска.</w:t>
      </w:r>
    </w:p>
    <w:p>
      <w:pPr>
        <w:pStyle w:val="Normal"/>
        <w:spacing w:before="0" w:after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tbl>
      <w:tblPr>
        <w:tblW w:w="1015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8"/>
        <w:gridCol w:w="3268"/>
        <w:gridCol w:w="2105"/>
      </w:tblGrid>
      <w:tr>
        <w:trPr/>
        <w:tc>
          <w:tcPr>
            <w:tcW w:w="4778" w:type="dxa"/>
            <w:tcBorders/>
          </w:tcPr>
          <w:p>
            <w:pPr>
              <w:pStyle w:val="Normal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</w:t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по строительству</w:t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268" w:type="dxa"/>
            <w:tcBorders/>
          </w:tcPr>
          <w:p>
            <w:pPr>
              <w:pStyle w:val="Normal"/>
              <w:snapToGrid w:val="fals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105" w:type="dxa"/>
            <w:tcBorders/>
          </w:tcPr>
          <w:p>
            <w:pPr>
              <w:pStyle w:val="Normal"/>
              <w:snapToGrid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М.Ю. Строков</w:t>
            </w:r>
          </w:p>
        </w:tc>
      </w:tr>
      <w:tr>
        <w:trPr/>
        <w:tc>
          <w:tcPr>
            <w:tcW w:w="4778" w:type="dxa"/>
            <w:tcBorders/>
          </w:tcPr>
          <w:p>
            <w:pPr>
              <w:pStyle w:val="Normal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общественных обсуждений</w:t>
            </w:r>
          </w:p>
        </w:tc>
        <w:tc>
          <w:tcPr>
            <w:tcW w:w="3268" w:type="dxa"/>
            <w:tcBorders/>
          </w:tcPr>
          <w:p>
            <w:pPr>
              <w:pStyle w:val="Normal"/>
              <w:snapToGrid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105" w:type="dxa"/>
            <w:tcBorders/>
          </w:tcPr>
          <w:p>
            <w:pPr>
              <w:pStyle w:val="Normal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И.В. Добкин</w:t>
            </w:r>
          </w:p>
        </w:tc>
      </w:tr>
    </w:tbl>
    <w:p>
      <w:pPr>
        <w:pStyle w:val="Normal"/>
        <w:spacing w:before="0" w:after="0"/>
        <w:ind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17" w:right="567" w:gutter="0" w:header="0" w:top="1134" w:footer="1134" w:bottom="141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Wingdings">
    <w:charset w:val="01"/>
    <w:family w:val="roman"/>
    <w:pitch w:val="variable"/>
  </w:font>
  <w:font w:name="Courier New">
    <w:charset w:val="01"/>
    <w:family w:val="roman"/>
    <w:pitch w:val="variable"/>
  </w:font>
  <w:font w:name="Symbo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Peterburg">
    <w:altName w:val="Times New Roman"/>
    <w:charset w:val="01"/>
    <w:family w:val="roman"/>
    <w:pitch w:val="variable"/>
  </w:font>
  <w:font w:name="Verdana">
    <w:charset w:val="01"/>
    <w:family w:val="roman"/>
    <w:pitch w:val="variable"/>
  </w:font>
  <w:font w:name="Calibri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828702330"/>
    </w:sdtPr>
    <w:sdtContent>
      <w:p>
        <w:pPr>
          <w:pStyle w:val="Footer"/>
          <w:jc w:val="right"/>
          <w:rPr>
            <w:sz w:val="20"/>
          </w:rPr>
        </w:pPr>
        <w:r>
          <w:rPr>
            <w:sz w:val="20"/>
          </w:rPr>
          <w:fldChar w:fldCharType="begin"/>
        </w:r>
        <w:r>
          <w:rPr>
            <w:sz w:val="20"/>
          </w:rPr>
          <w:instrText xml:space="preserve"> PAGE </w:instrText>
        </w:r>
        <w:r>
          <w:rPr>
            <w:sz w:val="20"/>
          </w:rPr>
          <w:fldChar w:fldCharType="separate"/>
        </w:r>
        <w:r>
          <w:rPr>
            <w:sz w:val="20"/>
          </w:rPr>
          <w:t>1</w:t>
        </w:r>
        <w:r>
          <w:rPr>
            <w:sz w:val="20"/>
          </w:rPr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828702330"/>
    </w:sdtPr>
    <w:sdtContent>
      <w:p>
        <w:pPr>
          <w:pStyle w:val="Footer"/>
          <w:jc w:val="right"/>
          <w:rPr>
            <w:sz w:val="20"/>
          </w:rPr>
        </w:pPr>
        <w:r>
          <w:rPr>
            <w:sz w:val="20"/>
          </w:rPr>
          <w:fldChar w:fldCharType="begin"/>
        </w:r>
        <w:r>
          <w:rPr>
            <w:sz w:val="20"/>
          </w:rPr>
          <w:instrText xml:space="preserve"> PAGE </w:instrText>
        </w:r>
        <w:r>
          <w:rPr>
            <w:sz w:val="20"/>
          </w:rPr>
          <w:fldChar w:fldCharType="separate"/>
        </w:r>
        <w:r>
          <w:rPr>
            <w:sz w:val="20"/>
          </w:rPr>
          <w:t>1</w:t>
        </w:r>
        <w:r>
          <w:rPr>
            <w:sz w:val="20"/>
          </w:rPr>
          <w:fldChar w:fldCharType="end"/>
        </w:r>
      </w:p>
    </w:sdtContent>
  </w:sdt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none"/>
      <w:suff w:val="nothing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none"/>
      <w:suff w:val="nothing"/>
      <w:lvlText w:val="%3."/>
      <w:lvlJc w:val="left"/>
      <w:pPr>
        <w:tabs>
          <w:tab w:val="num" w:pos="0"/>
        </w:tabs>
        <w:ind w:left="1440" w:hanging="360"/>
      </w:pPr>
      <w:rPr/>
    </w:lvl>
    <w:lvl w:ilvl="3">
      <w:start w:val="1"/>
      <w:numFmt w:val="none"/>
      <w:suff w:val="nothing"/>
      <w:lvlText w:val="%4."/>
      <w:lvlJc w:val="left"/>
      <w:pPr>
        <w:tabs>
          <w:tab w:val="num" w:pos="0"/>
        </w:tabs>
        <w:ind w:left="1800" w:hanging="360"/>
      </w:pPr>
      <w:rPr/>
    </w:lvl>
    <w:lvl w:ilvl="4">
      <w:start w:val="1"/>
      <w:numFmt w:val="none"/>
      <w:suff w:val="nothing"/>
      <w:lvlText w:val="%5."/>
      <w:lvlJc w:val="left"/>
      <w:pPr>
        <w:tabs>
          <w:tab w:val="num" w:pos="0"/>
        </w:tabs>
        <w:ind w:left="2160" w:hanging="360"/>
      </w:pPr>
      <w:rPr/>
    </w:lvl>
    <w:lvl w:ilvl="5">
      <w:start w:val="1"/>
      <w:numFmt w:val="none"/>
      <w:suff w:val="nothing"/>
      <w:lvlText w:val="%6."/>
      <w:lvlJc w:val="left"/>
      <w:pPr>
        <w:tabs>
          <w:tab w:val="num" w:pos="0"/>
        </w:tabs>
        <w:ind w:left="2520" w:hanging="360"/>
      </w:pPr>
      <w:rPr/>
    </w:lvl>
    <w:lvl w:ilvl="6">
      <w:start w:val="1"/>
      <w:numFmt w:val="none"/>
      <w:suff w:val="nothing"/>
      <w:lvlText w:val="%7."/>
      <w:lvlJc w:val="left"/>
      <w:pPr>
        <w:tabs>
          <w:tab w:val="num" w:pos="0"/>
        </w:tabs>
        <w:ind w:left="2880" w:hanging="360"/>
      </w:pPr>
      <w:rPr/>
    </w:lvl>
    <w:lvl w:ilvl="7">
      <w:start w:val="1"/>
      <w:numFmt w:val="none"/>
      <w:suff w:val="nothing"/>
      <w:lvlText w:val="%8."/>
      <w:lvlJc w:val="left"/>
      <w:pPr>
        <w:tabs>
          <w:tab w:val="num" w:pos="0"/>
        </w:tabs>
        <w:ind w:left="3240" w:hanging="360"/>
      </w:pPr>
      <w:rPr/>
    </w:lvl>
    <w:lvl w:ilvl="8">
      <w:start w:val="1"/>
      <w:numFmt w:val="none"/>
      <w:suff w:val="nothing"/>
      <w:lvlText w:val="%9."/>
      <w:lvlJc w:val="left"/>
      <w:pPr>
        <w:tabs>
          <w:tab w:val="num" w:pos="0"/>
        </w:tabs>
        <w:ind w:left="3600" w:hanging="360"/>
      </w:pPr>
      <w:rPr/>
    </w:lvl>
  </w:abstractNum>
  <w:abstractNum w:abstractNumId="2">
    <w:lvl w:ilvl="0">
      <w:start w:val="1"/>
      <w:numFmt w:val="decimal"/>
      <w:lvlText w:val="?%1"/>
      <w:lvlJc w:val="left"/>
      <w:pPr>
        <w:tabs>
          <w:tab w:val="num" w:pos="283"/>
        </w:tabs>
        <w:ind w:left="283" w:hanging="283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d659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qFormat/>
    <w:pPr>
      <w:widowControl w:val="false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Heading2">
    <w:name w:val="Heading 2"/>
    <w:basedOn w:val="Normal"/>
    <w:next w:val="Normal"/>
    <w:qFormat/>
    <w:pPr>
      <w:keepNext w:val="true"/>
      <w:spacing w:before="240" w:after="60"/>
      <w:outlineLvl w:val="1"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spacing w:before="240" w:after="60"/>
      <w:ind w:firstLine="709" w:left="0" w:right="0"/>
      <w:jc w:val="both"/>
      <w:outlineLvl w:val="3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31" w:customStyle="1">
    <w:name w:val="S_Нумерованный_3.1 Знак Знак"/>
    <w:link w:val="S311"/>
    <w:qFormat/>
    <w:rsid w:val="008d65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InternetLink">
    <w:name w:val="Internet Link"/>
    <w:qFormat/>
    <w:rsid w:val="008d6599"/>
    <w:rPr>
      <w:color w:val="0000FF"/>
      <w:u w:val="single"/>
    </w:rPr>
  </w:style>
  <w:style w:type="character" w:styleId="Style11" w:customStyle="1">
    <w:name w:val="Текст выноски Знак"/>
    <w:basedOn w:val="DefaultParagraphFont"/>
    <w:link w:val="BalloonText"/>
    <w:uiPriority w:val="99"/>
    <w:semiHidden/>
    <w:qFormat/>
    <w:rsid w:val="00c463fa"/>
    <w:rPr>
      <w:rFonts w:ascii="Tahoma" w:hAnsi="Tahoma" w:eastAsia="Times New Roman" w:cs="Tahoma"/>
      <w:sz w:val="16"/>
      <w:szCs w:val="16"/>
      <w:lang w:eastAsia="ru-RU"/>
    </w:rPr>
  </w:style>
  <w:style w:type="character" w:styleId="Style12" w:customStyle="1">
    <w:name w:val="Верхний колонтитул Знак"/>
    <w:basedOn w:val="DefaultParagraphFont"/>
    <w:uiPriority w:val="99"/>
    <w:qFormat/>
    <w:rsid w:val="00ef3118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3" w:customStyle="1">
    <w:name w:val="Нижний колонтитул Знак"/>
    <w:basedOn w:val="DefaultParagraphFont"/>
    <w:uiPriority w:val="99"/>
    <w:qFormat/>
    <w:rsid w:val="00ef3118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fontstyle01">
    <w:name w:val="fontstyle01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28"/>
      <w:szCs w:val="28"/>
    </w:rPr>
  </w:style>
  <w:style w:type="character" w:styleId="Style14">
    <w:name w:val="Символ нумерации"/>
    <w:qFormat/>
    <w:rPr/>
  </w:style>
  <w:style w:type="character" w:styleId="WW8Num2z0">
    <w:name w:val="WW8Num2z0"/>
    <w:qFormat/>
    <w:rPr/>
  </w:style>
  <w:style w:type="character" w:styleId="InternetLink1">
    <w:name w:val="Internet Link1"/>
    <w:qFormat/>
    <w:rPr>
      <w:color w:val="000080"/>
      <w:u w:val="single"/>
    </w:rPr>
  </w:style>
  <w:style w:type="character" w:styleId="Style15">
    <w:name w:val="_ПЗ Знак"/>
    <w:qFormat/>
    <w:rPr>
      <w:sz w:val="26"/>
      <w:szCs w:val="26"/>
      <w:u w:val="single"/>
      <w:lang w:val="ru-RU"/>
    </w:rPr>
  </w:style>
  <w:style w:type="character" w:styleId="2">
    <w:name w:val="Заголовок 2 Знак"/>
    <w:qFormat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apple-converted-space">
    <w:name w:val="apple-converted-space"/>
    <w:basedOn w:val="Style16"/>
    <w:qFormat/>
    <w:rPr/>
  </w:style>
  <w:style w:type="character" w:styleId="PageNumber">
    <w:name w:val="Page Number"/>
    <w:basedOn w:val="Style16"/>
    <w:rPr/>
  </w:style>
  <w:style w:type="character" w:styleId="Style16">
    <w:name w:val="Основной шрифт абзаца"/>
    <w:qFormat/>
    <w:rPr/>
  </w:style>
  <w:style w:type="character" w:styleId="WW8Num47z0">
    <w:name w:val="WW8Num47z0"/>
    <w:qFormat/>
    <w:rPr/>
  </w:style>
  <w:style w:type="character" w:styleId="WW8Num46z2">
    <w:name w:val="WW8Num46z2"/>
    <w:qFormat/>
    <w:rPr>
      <w:rFonts w:ascii="Wingdings" w:hAnsi="Wingdings" w:cs="Wingdings"/>
    </w:rPr>
  </w:style>
  <w:style w:type="character" w:styleId="WW8Num46z1">
    <w:name w:val="WW8Num46z1"/>
    <w:qFormat/>
    <w:rPr>
      <w:rFonts w:ascii="Courier New" w:hAnsi="Courier New" w:cs="Courier New"/>
    </w:rPr>
  </w:style>
  <w:style w:type="character" w:styleId="WW8Num46z0">
    <w:name w:val="WW8Num46z0"/>
    <w:qFormat/>
    <w:rPr>
      <w:rFonts w:ascii="Symbol" w:hAnsi="Symbol" w:cs="Symbol"/>
    </w:rPr>
  </w:style>
  <w:style w:type="character" w:styleId="WW8Num45z0">
    <w:name w:val="WW8Num45z0"/>
    <w:qFormat/>
    <w:rPr/>
  </w:style>
  <w:style w:type="character" w:styleId="WW8Num44z0">
    <w:name w:val="WW8Num44z0"/>
    <w:qFormat/>
    <w:rPr/>
  </w:style>
  <w:style w:type="character" w:styleId="WW8Num43z3">
    <w:name w:val="WW8Num43z3"/>
    <w:qFormat/>
    <w:rPr/>
  </w:style>
  <w:style w:type="character" w:styleId="WW8Num42z0">
    <w:name w:val="WW8Num42z0"/>
    <w:qFormat/>
    <w:rPr/>
  </w:style>
  <w:style w:type="character" w:styleId="WW8Num41z0">
    <w:name w:val="WW8Num41z0"/>
    <w:qFormat/>
    <w:rPr/>
  </w:style>
  <w:style w:type="character" w:styleId="WW8Num40z0">
    <w:name w:val="WW8Num40z0"/>
    <w:qFormat/>
    <w:rPr/>
  </w:style>
  <w:style w:type="character" w:styleId="WW8Num39z0">
    <w:name w:val="WW8Num39z0"/>
    <w:qFormat/>
    <w:rPr/>
  </w:style>
  <w:style w:type="character" w:styleId="WW8Num38z2">
    <w:name w:val="WW8Num38z2"/>
    <w:qFormat/>
    <w:rPr>
      <w:rFonts w:ascii="Wingdings" w:hAnsi="Wingdings" w:cs="Wingdings"/>
    </w:rPr>
  </w:style>
  <w:style w:type="character" w:styleId="WW8Num38z1">
    <w:name w:val="WW8Num38z1"/>
    <w:qFormat/>
    <w:rPr>
      <w:rFonts w:ascii="Courier New" w:hAnsi="Courier New" w:cs="Courier New"/>
    </w:rPr>
  </w:style>
  <w:style w:type="character" w:styleId="WW8Num38z0">
    <w:name w:val="WW8Num38z0"/>
    <w:qFormat/>
    <w:rPr>
      <w:rFonts w:ascii="Symbol" w:hAnsi="Symbol" w:cs="Symbol"/>
    </w:rPr>
  </w:style>
  <w:style w:type="character" w:styleId="WW8Num37z0">
    <w:name w:val="WW8Num37z0"/>
    <w:qFormat/>
    <w:rPr/>
  </w:style>
  <w:style w:type="character" w:styleId="WW8Num36z0">
    <w:name w:val="WW8Num36z0"/>
    <w:qFormat/>
    <w:rPr/>
  </w:style>
  <w:style w:type="character" w:styleId="WW8Num35z3">
    <w:name w:val="WW8Num35z3"/>
    <w:qFormat/>
    <w:rPr/>
  </w:style>
  <w:style w:type="character" w:styleId="WW8Num34z0">
    <w:name w:val="WW8Num34z0"/>
    <w:qFormat/>
    <w:rPr/>
  </w:style>
  <w:style w:type="character" w:styleId="WW8Num33z0">
    <w:name w:val="WW8Num33z0"/>
    <w:qFormat/>
    <w:rPr/>
  </w:style>
  <w:style w:type="character" w:styleId="WW8Num32z0">
    <w:name w:val="WW8Num32z0"/>
    <w:qFormat/>
    <w:rPr/>
  </w:style>
  <w:style w:type="character" w:styleId="WW8Num30z0">
    <w:name w:val="WW8Num30z0"/>
    <w:qFormat/>
    <w:rPr/>
  </w:style>
  <w:style w:type="character" w:styleId="WW8Num29z2">
    <w:name w:val="WW8Num29z2"/>
    <w:qFormat/>
    <w:rPr>
      <w:rFonts w:ascii="Wingdings" w:hAnsi="Wingdings" w:cs="Wingdings"/>
    </w:rPr>
  </w:style>
  <w:style w:type="character" w:styleId="WW8Num29z1">
    <w:name w:val="WW8Num29z1"/>
    <w:qFormat/>
    <w:rPr>
      <w:rFonts w:ascii="Courier New" w:hAnsi="Courier New" w:cs="Courier New"/>
    </w:rPr>
  </w:style>
  <w:style w:type="character" w:styleId="WW8Num29z0">
    <w:name w:val="WW8Num29z0"/>
    <w:qFormat/>
    <w:rPr>
      <w:rFonts w:ascii="Symbol" w:hAnsi="Symbol" w:cs="Symbol"/>
    </w:rPr>
  </w:style>
  <w:style w:type="character" w:styleId="WW8Num28z2">
    <w:name w:val="WW8Num28z2"/>
    <w:qFormat/>
    <w:rPr>
      <w:rFonts w:ascii="Wingdings" w:hAnsi="Wingdings" w:cs="Wingdings"/>
    </w:rPr>
  </w:style>
  <w:style w:type="character" w:styleId="WW8Num28z1">
    <w:name w:val="WW8Num28z1"/>
    <w:qFormat/>
    <w:rPr>
      <w:rFonts w:ascii="Courier New" w:hAnsi="Courier New" w:cs="Courier New"/>
    </w:rPr>
  </w:style>
  <w:style w:type="character" w:styleId="WW8Num28z0">
    <w:name w:val="WW8Num28z0"/>
    <w:qFormat/>
    <w:rPr>
      <w:rFonts w:ascii="Symbol" w:hAnsi="Symbol" w:cs="Symbol"/>
    </w:rPr>
  </w:style>
  <w:style w:type="character" w:styleId="WW8Num27z2">
    <w:name w:val="WW8Num27z2"/>
    <w:qFormat/>
    <w:rPr>
      <w:rFonts w:ascii="Wingdings" w:hAnsi="Wingdings" w:cs="Wingdings"/>
    </w:rPr>
  </w:style>
  <w:style w:type="character" w:styleId="WW8Num27z1">
    <w:name w:val="WW8Num27z1"/>
    <w:qFormat/>
    <w:rPr>
      <w:rFonts w:ascii="Courier New" w:hAnsi="Courier New" w:cs="Courier New"/>
    </w:rPr>
  </w:style>
  <w:style w:type="character" w:styleId="WW8Num27z0">
    <w:name w:val="WW8Num27z0"/>
    <w:qFormat/>
    <w:rPr>
      <w:rFonts w:ascii="Symbol" w:hAnsi="Symbol" w:cs="Symbol"/>
    </w:rPr>
  </w:style>
  <w:style w:type="character" w:styleId="WW8Num26z0">
    <w:name w:val="WW8Num26z0"/>
    <w:qFormat/>
    <w:rPr/>
  </w:style>
  <w:style w:type="character" w:styleId="WW8Num25z0">
    <w:name w:val="WW8Num25z0"/>
    <w:qFormat/>
    <w:rPr/>
  </w:style>
  <w:style w:type="character" w:styleId="WW8Num24z0">
    <w:name w:val="WW8Num24z0"/>
    <w:qFormat/>
    <w:rPr/>
  </w:style>
  <w:style w:type="character" w:styleId="WW8Num23z0">
    <w:name w:val="WW8Num23z0"/>
    <w:qFormat/>
    <w:rPr/>
  </w:style>
  <w:style w:type="character" w:styleId="WW8Num22z0">
    <w:name w:val="WW8Num22z0"/>
    <w:qFormat/>
    <w:rPr/>
  </w:style>
  <w:style w:type="character" w:styleId="WW8Num21z2">
    <w:name w:val="WW8Num21z2"/>
    <w:qFormat/>
    <w:rPr>
      <w:rFonts w:ascii="Wingdings" w:hAnsi="Wingdings" w:cs="Wingdings"/>
    </w:rPr>
  </w:style>
  <w:style w:type="character" w:styleId="WW8Num21z1">
    <w:name w:val="WW8Num21z1"/>
    <w:qFormat/>
    <w:rPr>
      <w:rFonts w:ascii="Courier New" w:hAnsi="Courier New" w:cs="Courier New"/>
    </w:rPr>
  </w:style>
  <w:style w:type="character" w:styleId="WW8Num21z0">
    <w:name w:val="WW8Num21z0"/>
    <w:qFormat/>
    <w:rPr>
      <w:rFonts w:ascii="Symbol" w:hAnsi="Symbol" w:cs="Symbol"/>
    </w:rPr>
  </w:style>
  <w:style w:type="character" w:styleId="WW8Num20z0">
    <w:name w:val="WW8Num20z0"/>
    <w:qFormat/>
    <w:rPr/>
  </w:style>
  <w:style w:type="character" w:styleId="WW8Num19z0">
    <w:name w:val="WW8Num19z0"/>
    <w:qFormat/>
    <w:rPr/>
  </w:style>
  <w:style w:type="character" w:styleId="WW8Num18z0">
    <w:name w:val="WW8Num18z0"/>
    <w:qFormat/>
    <w:rPr/>
  </w:style>
  <w:style w:type="character" w:styleId="WW8Num17z0">
    <w:name w:val="WW8Num17z0"/>
    <w:qFormat/>
    <w:rPr/>
  </w:style>
  <w:style w:type="character" w:styleId="WW8Num16z2">
    <w:name w:val="WW8Num16z2"/>
    <w:qFormat/>
    <w:rPr>
      <w:rFonts w:ascii="Wingdings" w:hAnsi="Wingdings" w:cs="Wingdings"/>
    </w:rPr>
  </w:style>
  <w:style w:type="character" w:styleId="WW8Num16z1">
    <w:name w:val="WW8Num16z1"/>
    <w:qFormat/>
    <w:rPr>
      <w:rFonts w:ascii="Courier New" w:hAnsi="Courier New" w:cs="Courier New"/>
    </w:rPr>
  </w:style>
  <w:style w:type="character" w:styleId="WW8Num16z0">
    <w:name w:val="WW8Num16z0"/>
    <w:qFormat/>
    <w:rPr>
      <w:rFonts w:ascii="Symbol" w:hAnsi="Symbol" w:cs="Symbol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0">
    <w:name w:val="WW8Num15z0"/>
    <w:qFormat/>
    <w:rPr>
      <w:rFonts w:ascii="Symbol" w:hAnsi="Symbol" w:cs="Symbol"/>
    </w:rPr>
  </w:style>
  <w:style w:type="character" w:styleId="WW8Num14z0">
    <w:name w:val="WW8Num14z0"/>
    <w:qFormat/>
    <w:rPr/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0">
    <w:name w:val="WW8Num13z0"/>
    <w:qFormat/>
    <w:rPr>
      <w:rFonts w:ascii="Symbol" w:hAnsi="Symbol" w:cs="Symbol"/>
    </w:rPr>
  </w:style>
  <w:style w:type="character" w:styleId="WW8Num12z0">
    <w:name w:val="WW8Num12z0"/>
    <w:qFormat/>
    <w:rPr>
      <w:rFonts w:ascii="Times New Roman" w:hAnsi="Times New Roman" w:eastAsia="Times New Roman" w:cs="Times New Roman"/>
    </w:rPr>
  </w:style>
  <w:style w:type="character" w:styleId="WW8Num11z0">
    <w:name w:val="WW8Num11z0"/>
    <w:qFormat/>
    <w:rPr/>
  </w:style>
  <w:style w:type="character" w:styleId="WW8Num10z0">
    <w:name w:val="WW8Num10z0"/>
    <w:qFormat/>
    <w:rPr/>
  </w:style>
  <w:style w:type="character" w:styleId="WW8Num9z0">
    <w:name w:val="WW8Num9z0"/>
    <w:qFormat/>
    <w:rPr/>
  </w:style>
  <w:style w:type="character" w:styleId="WW8Num8z2">
    <w:name w:val="WW8Num8z2"/>
    <w:qFormat/>
    <w:rPr>
      <w:rFonts w:ascii="Wingdings" w:hAnsi="Wingdings" w:cs="Wingdings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0">
    <w:name w:val="WW8Num8z0"/>
    <w:qFormat/>
    <w:rPr>
      <w:rFonts w:ascii="Symbol" w:hAnsi="Symbol" w:cs="Symbol"/>
    </w:rPr>
  </w:style>
  <w:style w:type="character" w:styleId="WW8Num7z0">
    <w:name w:val="WW8Num7z0"/>
    <w:qFormat/>
    <w:rPr/>
  </w:style>
  <w:style w:type="character" w:styleId="WW8Num6z0">
    <w:name w:val="WW8Num6z0"/>
    <w:qFormat/>
    <w:rPr/>
  </w:style>
  <w:style w:type="character" w:styleId="WW8Num5z2">
    <w:name w:val="WW8Num5z2"/>
    <w:qFormat/>
    <w:rPr>
      <w:rFonts w:ascii="Wingdings" w:hAnsi="Wingdings" w:cs="Wingdings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3z0">
    <w:name w:val="WW8Num3z0"/>
    <w:qFormat/>
    <w:rPr>
      <w:rFonts w:ascii="Times New Roman" w:hAnsi="Times New Roman" w:eastAsia="Times New Roman" w:cs="Times New Roman"/>
    </w:rPr>
  </w:style>
  <w:style w:type="character" w:styleId="WW8Num4z0">
    <w:name w:val="WW8Num4z0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"/>
    </w:rPr>
  </w:style>
  <w:style w:type="paragraph" w:styleId="S311" w:customStyle="1">
    <w:name w:val="S_Нумерованный_3.1"/>
    <w:basedOn w:val="Normal"/>
    <w:link w:val="S31"/>
    <w:autoRedefine/>
    <w:qFormat/>
    <w:rsid w:val="008d6599"/>
    <w:pPr>
      <w:jc w:val="both"/>
    </w:pPr>
    <w:rPr>
      <w:sz w:val="26"/>
      <w:szCs w:val="26"/>
    </w:rPr>
  </w:style>
  <w:style w:type="paragraph" w:styleId="ConsPlusNonformat" w:customStyle="1">
    <w:name w:val="ConsPlusNonformat"/>
    <w:qFormat/>
    <w:rsid w:val="008d6599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Title" w:customStyle="1">
    <w:name w:val="ConsTitle"/>
    <w:semiHidden/>
    <w:qFormat/>
    <w:rsid w:val="008d6599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b/>
      <w:bCs/>
      <w:color w:val="auto"/>
      <w:kern w:val="0"/>
      <w:sz w:val="16"/>
      <w:szCs w:val="16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09567e"/>
    <w:pPr>
      <w:overflowPunct w:val="true"/>
      <w:spacing w:before="0" w:after="0"/>
      <w:ind w:left="720"/>
      <w:contextualSpacing/>
      <w:textAlignment w:val="baseline"/>
    </w:pPr>
    <w:rPr>
      <w:sz w:val="20"/>
      <w:szCs w:val="20"/>
    </w:rPr>
  </w:style>
  <w:style w:type="paragraph" w:styleId="BalloonText">
    <w:name w:val="Balloon Text"/>
    <w:basedOn w:val="Normal"/>
    <w:link w:val="Style11"/>
    <w:uiPriority w:val="99"/>
    <w:semiHidden/>
    <w:unhideWhenUsed/>
    <w:qFormat/>
    <w:rsid w:val="00c463fa"/>
    <w:pPr/>
    <w:rPr>
      <w:rFonts w:ascii="Tahoma" w:hAnsi="Tahoma" w:cs="Tahoma"/>
      <w:sz w:val="16"/>
      <w:szCs w:val="16"/>
    </w:rPr>
  </w:style>
  <w:style w:type="paragraph" w:styleId="Style19">
    <w:name w:val="Колонтитул"/>
    <w:basedOn w:val="Normal"/>
    <w:qFormat/>
    <w:pPr/>
    <w:rPr/>
  </w:style>
  <w:style w:type="paragraph" w:styleId="Header">
    <w:name w:val="Header"/>
    <w:basedOn w:val="Normal"/>
    <w:link w:val="Style12"/>
    <w:uiPriority w:val="99"/>
    <w:unhideWhenUsed/>
    <w:rsid w:val="00ef3118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3"/>
    <w:uiPriority w:val="99"/>
    <w:unhideWhenUsed/>
    <w:rsid w:val="00ef3118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0">
    <w:name w:val="Абзац списка"/>
    <w:basedOn w:val="Normal"/>
    <w:qFormat/>
    <w:pPr>
      <w:overflowPunct w:val="true"/>
      <w:spacing w:before="0" w:after="0"/>
      <w:ind w:hanging="0" w:left="720" w:right="0"/>
      <w:contextualSpacing/>
      <w:textAlignment w:val="baseline"/>
    </w:pPr>
    <w:rPr/>
  </w:style>
  <w:style w:type="paragraph" w:styleId="Style21">
    <w:name w:val="Содержимое врезки"/>
    <w:basedOn w:val="Normal"/>
    <w:qFormat/>
    <w:pPr/>
    <w:rPr/>
  </w:style>
  <w:style w:type="paragraph" w:styleId="Style22">
    <w:name w:val="Содержимое таблицы"/>
    <w:basedOn w:val="Normal"/>
    <w:qFormat/>
    <w:pPr>
      <w:widowControl w:val="false"/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paragraph" w:styleId="Style24">
    <w:name w:val="_ПЗ"/>
    <w:basedOn w:val="Normal"/>
    <w:qFormat/>
    <w:pPr>
      <w:tabs>
        <w:tab w:val="clear" w:pos="708"/>
        <w:tab w:val="left" w:pos="142" w:leader="none"/>
      </w:tabs>
      <w:ind w:firstLine="709" w:left="0" w:right="0"/>
      <w:jc w:val="both"/>
    </w:pPr>
    <w:rPr>
      <w:sz w:val="26"/>
      <w:szCs w:val="26"/>
      <w:u w:val="single"/>
      <w:lang w:val="ru-RU"/>
    </w:rPr>
  </w:style>
  <w:style w:type="paragraph" w:styleId="Style25">
    <w:name w:val="Обычный (веб)"/>
    <w:basedOn w:val="Normal"/>
    <w:qFormat/>
    <w:pPr>
      <w:spacing w:before="280" w:after="280"/>
    </w:pPr>
    <w:rPr>
      <w:rFonts w:eastAsia="Times New Roman"/>
      <w:sz w:val="24"/>
      <w:szCs w:val="24"/>
    </w:rPr>
  </w:style>
  <w:style w:type="paragraph" w:styleId="Style26">
    <w:name w:val="Маркированный список"/>
    <w:basedOn w:val="Normal"/>
    <w:qFormat/>
    <w:pPr>
      <w:numPr>
        <w:ilvl w:val="0"/>
        <w:numId w:val="1"/>
      </w:numPr>
      <w:spacing w:before="0" w:after="0"/>
      <w:contextualSpacing/>
    </w:pPr>
    <w:rPr/>
  </w:style>
  <w:style w:type="paragraph" w:styleId="nienie">
    <w:name w:val="nienie"/>
    <w:basedOn w:val="Normal"/>
    <w:qFormat/>
    <w:pPr>
      <w:keepLines/>
      <w:widowControl w:val="false"/>
      <w:numPr>
        <w:ilvl w:val="0"/>
        <w:numId w:val="2"/>
      </w:numPr>
      <w:ind w:hanging="284" w:left="709" w:right="0"/>
      <w:jc w:val="both"/>
    </w:pPr>
    <w:rPr>
      <w:rFonts w:ascii="Peterburg;Times New Roman" w:hAnsi="Peterburg;Times New Roman" w:cs="Peterburg;Times New Roman"/>
      <w:sz w:val="24"/>
    </w:rPr>
  </w:style>
  <w:style w:type="paragraph" w:styleId="Style27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28">
    <w:name w:val="Схема документа"/>
    <w:basedOn w:val="Normal"/>
    <w:qFormat/>
    <w:pPr>
      <w:shd w:val="clear" w:fill="000080"/>
    </w:pPr>
    <w:rPr>
      <w:rFonts w:ascii="Tahoma" w:hAnsi="Tahoma" w:cs="Tahoma"/>
    </w:rPr>
  </w:style>
  <w:style w:type="paragraph" w:styleId="Style29">
    <w:name w:val="Знак"/>
    <w:basedOn w:val="Normal"/>
    <w:qFormat/>
    <w:pPr>
      <w:spacing w:lineRule="exact" w:line="240" w:before="0" w:after="160"/>
    </w:pPr>
    <w:rPr>
      <w:rFonts w:ascii="Verdana" w:hAnsi="Verdana" w:cs="Verdana"/>
      <w:lang w:val="en-US"/>
    </w:rPr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zh-CN" w:bidi="ar-SA"/>
    </w:rPr>
  </w:style>
  <w:style w:type="paragraph" w:styleId="Style30">
    <w:name w:val="Текст"/>
    <w:basedOn w:val="Normal"/>
    <w:qFormat/>
    <w:pPr/>
    <w:rPr>
      <w:rFonts w:ascii="Courier New" w:hAnsi="Courier New" w:cs="Courier New"/>
      <w:lang w:val="ru-RU" w:eastAsia="ru-RU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ind w:firstLine="720" w:left="0" w:right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21">
    <w:name w:val="Основной текст с отступом 2"/>
    <w:basedOn w:val="Normal"/>
    <w:qFormat/>
    <w:pPr>
      <w:ind w:firstLine="851" w:left="0" w:right="0"/>
      <w:jc w:val="both"/>
    </w:pPr>
    <w:rPr>
      <w:szCs w:val="24"/>
    </w:rPr>
  </w:style>
  <w:style w:type="paragraph" w:styleId="Style31">
    <w:name w:val="Таблицы (моноширинный)"/>
    <w:basedOn w:val="Normal"/>
    <w:next w:val="Normal"/>
    <w:qFormat/>
    <w:pPr>
      <w:widowControl w:val="false"/>
      <w:jc w:val="both"/>
    </w:pPr>
    <w:rPr>
      <w:rFonts w:ascii="Courier New" w:hAnsi="Courier New" w:cs="Courier New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ascii="Calibri" w:hAnsi="Calibri" w:cs="Droid Sans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ascii="Calibri" w:hAnsi="Calibri" w:cs="Droid Sans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ascii="Calibri" w:hAnsi="Calibri" w:cs="Droid Sans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ascii="Calibri" w:hAnsi="Calibri" w:cs="Droid Sans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ascii="Calibri" w:hAnsi="Calibri" w:cs="Droid Sans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ascii="Calibri" w:hAnsi="Calibri" w:cs="Droid Sans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ascii="Calibri" w:hAnsi="Calibri" w:cs="Droid Sans"/>
      <w:i/>
      <w:iCs/>
      <w:sz w:val="24"/>
      <w:szCs w:val="24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Calibri" w:hAnsi="Calibri" w:cs="Droid Sans"/>
      <w:i/>
      <w:iCs/>
      <w:sz w:val="24"/>
      <w:szCs w:val="24"/>
    </w:rPr>
  </w:style>
  <w:style w:type="paragraph" w:styleId="Caption2">
    <w:name w:val="Caption2"/>
    <w:basedOn w:val="Normal"/>
    <w:qFormat/>
    <w:pPr>
      <w:suppressLineNumbers/>
      <w:spacing w:before="120" w:after="120"/>
    </w:pPr>
    <w:rPr>
      <w:rFonts w:ascii="Calibri" w:hAnsi="Calibri" w:cs="Droid Sans"/>
      <w:i/>
      <w:iCs/>
      <w:sz w:val="24"/>
      <w:szCs w:val="24"/>
    </w:rPr>
  </w:style>
  <w:style w:type="numbering" w:styleId="Style32" w:default="1">
    <w:name w:val="Без списка"/>
    <w:uiPriority w:val="99"/>
    <w:semiHidden/>
    <w:unhideWhenUsed/>
    <w:qFormat/>
  </w:style>
  <w:style w:type="numbering" w:styleId="WW8Num3">
    <w:name w:val="WW8Num3"/>
    <w:qFormat/>
  </w:style>
  <w:style w:type="numbering" w:styleId="WW8Num2">
    <w:name w:val="WW8Num2"/>
    <w:qFormat/>
  </w:style>
  <w:style w:type="numbering" w:styleId="WW8Num6">
    <w:name w:val="WW8Num6"/>
    <w:qFormat/>
  </w:style>
  <w:style w:type="numbering" w:styleId="WW8Num1">
    <w:name w:val="WW8Num1"/>
    <w:qFormat/>
  </w:style>
  <w:style w:type="numbering" w:styleId="WW8Num4">
    <w:name w:val="WW8Num4"/>
    <w:qFormat/>
  </w:style>
  <w:style w:type="numbering" w:styleId="WW8Num5">
    <w:name w:val="WW8Num5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c463fa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894</TotalTime>
  <Application>LibreOffice/24.2.4.2$Linux_X86_64 LibreOffice_project/51a6219feb6075d9a4c46691dcfe0cd9c4fff3c2</Application>
  <AppVersion>15.0000</AppVersion>
  <Pages>2</Pages>
  <Words>431</Words>
  <Characters>3266</Characters>
  <CharactersWithSpaces>3676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2020-10-20T04:51:00Z</dcterms:created>
  <dc:creator>Александра Алексеевна Горбачева</dc:creator>
  <dc:description/>
  <dc:language>ru-RU</dc:language>
  <cp:lastModifiedBy/>
  <cp:lastPrinted>2026-09-28T11:55:43Z</cp:lastPrinted>
  <dcterms:modified xsi:type="dcterms:W3CDTF">2026-09-28T11:56:23Z</dcterms:modified>
  <cp:revision>139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