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Times New Roman" w:hAnsi="Times New Roman" w:eastAsia="Times New Roman" w:cs="Times New Roman"/>
          <w:b/>
          <w:bCs/>
          <w:sz w:val="28"/>
          <w:szCs w:val="28"/>
          <w:lang w:eastAsia="ru-RU"/>
        </w:rPr>
      </w:pPr>
      <w:r>
        <w:rPr>
          <w:rFonts w:eastAsia="Times New Roman" w:cs="Times New Roman" w:ascii="Times New Roman" w:hAnsi="Times New Roman"/>
          <w:b/>
          <w:bCs/>
          <w:sz w:val="28"/>
          <w:szCs w:val="28"/>
          <w:lang w:eastAsia="ru-RU"/>
        </w:rPr>
        <w:t>АДМИНИСТРАЦИЯ ГОРОДА БЕРДСКА</w:t>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cs="Times New Roman"/>
          <w:b/>
          <w:spacing w:val="52"/>
          <w:sz w:val="36"/>
          <w:szCs w:val="20"/>
          <w:lang w:eastAsia="ru-RU"/>
        </w:rPr>
      </w:pPr>
      <w:r>
        <w:rPr>
          <w:rFonts w:eastAsia="Times New Roman" w:cs="Times New Roman" w:ascii="Times New Roman" w:hAnsi="Times New Roman"/>
          <w:b/>
          <w:spacing w:val="52"/>
          <w:sz w:val="36"/>
          <w:szCs w:val="20"/>
          <w:lang w:eastAsia="ru-RU"/>
        </w:rPr>
        <w:t xml:space="preserve">ПОСТАНОВЛЕНИЕ </w:t>
      </w:r>
    </w:p>
    <w:p>
      <w:pPr>
        <w:pStyle w:val="Normal"/>
        <w:spacing w:lineRule="auto" w:line="240" w:before="0" w:after="0"/>
        <w:jc w:val="center"/>
        <w:rPr>
          <w:rFonts w:ascii="Times New Roman" w:hAnsi="Times New Roman" w:eastAsia="Times New Roman" w:cs="Times New Roman"/>
          <w:b/>
          <w:sz w:val="28"/>
          <w:szCs w:val="20"/>
          <w:lang w:eastAsia="ru-RU"/>
        </w:rPr>
      </w:pPr>
      <w:r>
        <w:rPr>
          <w:rFonts w:eastAsia="Times New Roman" w:cs="Times New Roman" w:ascii="Times New Roman" w:hAnsi="Times New Roman"/>
          <w:b/>
          <w:sz w:val="28"/>
          <w:szCs w:val="20"/>
          <w:lang w:eastAsia="ru-RU"/>
        </w:rPr>
        <w:t xml:space="preserve"> </w:t>
      </w:r>
    </w:p>
    <w:p>
      <w:pPr>
        <w:pStyle w:val="Normal"/>
        <w:spacing w:lineRule="auto" w:line="240" w:before="0" w:after="0"/>
        <w:rPr>
          <w:rFonts w:ascii="Times New Roman" w:hAnsi="Times New Roman" w:eastAsia="Times New Roman" w:cs="Times New Roman"/>
          <w:sz w:val="28"/>
          <w:szCs w:val="20"/>
          <w:lang w:eastAsia="ru-RU"/>
        </w:rPr>
      </w:pPr>
      <w:r>
        <w:rPr>
          <w:rFonts w:eastAsia="Times New Roman" w:cs="Times New Roman" w:ascii="Times New Roman" w:hAnsi="Times New Roman"/>
          <w:sz w:val="28"/>
          <w:szCs w:val="20"/>
          <w:lang w:eastAsia="ru-RU"/>
        </w:rPr>
        <w:t>23.07.2026</w:t>
      </w:r>
      <w:r>
        <w:rPr>
          <w:rFonts w:eastAsia="Times New Roman" w:cs="Times New Roman" w:ascii="Times New Roman" w:hAnsi="Times New Roman"/>
          <w:sz w:val="28"/>
          <w:szCs w:val="20"/>
          <w:lang w:eastAsia="ru-RU"/>
        </w:rPr>
        <w:t xml:space="preserve">                                                                                              №</w:t>
      </w:r>
      <w:r>
        <w:rPr>
          <w:rFonts w:eastAsia="Times New Roman" w:cs="Times New Roman" w:ascii="Times New Roman" w:hAnsi="Times New Roman"/>
          <w:sz w:val="28"/>
          <w:szCs w:val="20"/>
          <w:lang w:eastAsia="ru-RU"/>
        </w:rPr>
        <w:t>2603/65</w:t>
      </w:r>
    </w:p>
    <w:p>
      <w:pPr>
        <w:pStyle w:val="Normal"/>
        <w:shd w:val="clear" w:color="auto" w:fill="FFFFFF"/>
        <w:spacing w:lineRule="exact" w:line="317" w:before="0" w:after="0"/>
        <w:rPr>
          <w:rFonts w:ascii="Times New Roman" w:hAnsi="Times New Roman" w:eastAsia="Times New Roman" w:cs="Times New Roman"/>
          <w:color w:val="000000"/>
          <w:spacing w:val="-1"/>
          <w:sz w:val="28"/>
          <w:szCs w:val="20"/>
          <w:lang w:eastAsia="ru-RU"/>
        </w:rPr>
      </w:pPr>
      <w:r>
        <w:rPr>
          <w:rFonts w:eastAsia="Times New Roman" w:cs="Times New Roman" w:ascii="Times New Roman" w:hAnsi="Times New Roman"/>
          <w:color w:val="000000"/>
          <w:spacing w:val="-1"/>
          <w:sz w:val="28"/>
          <w:szCs w:val="20"/>
          <w:lang w:eastAsia="ru-RU"/>
        </w:rPr>
      </w:r>
    </w:p>
    <w:p>
      <w:pPr>
        <w:pStyle w:val="Normal"/>
        <w:shd w:val="clear" w:color="auto" w:fill="FFFFFF"/>
        <w:spacing w:lineRule="exact" w:line="317" w:before="0" w:after="0"/>
        <w:rPr>
          <w:rFonts w:ascii="Times New Roman" w:hAnsi="Times New Roman" w:eastAsia="Times New Roman" w:cs="Times New Roman"/>
          <w:color w:val="000000"/>
          <w:spacing w:val="-1"/>
          <w:sz w:val="28"/>
          <w:szCs w:val="20"/>
          <w:lang w:eastAsia="ru-RU"/>
        </w:rPr>
      </w:pPr>
      <w:r>
        <w:rPr>
          <w:rFonts w:eastAsia="Times New Roman" w:cs="Times New Roman" w:ascii="Times New Roman" w:hAnsi="Times New Roman"/>
          <w:color w:val="000000"/>
          <w:spacing w:val="-1"/>
          <w:sz w:val="28"/>
          <w:szCs w:val="20"/>
          <w:lang w:eastAsia="ru-RU"/>
        </w:rPr>
      </w:r>
    </w:p>
    <w:p>
      <w:pPr>
        <w:pStyle w:val="Normal"/>
        <w:widowControl w:val="false"/>
        <w:spacing w:lineRule="auto" w:line="240" w:before="0" w:after="0"/>
        <w:ind w:firstLine="720"/>
        <w:jc w:val="center"/>
        <w:rPr>
          <w:rFonts w:ascii="Times New Roman CYR" w:hAnsi="Times New Roman CYR" w:eastAsia="Times New Roman" w:cs="Times New Roman CYR"/>
          <w:bCs/>
          <w:sz w:val="28"/>
          <w:szCs w:val="28"/>
          <w:lang w:eastAsia="ru-RU"/>
        </w:rPr>
      </w:pPr>
      <w:r>
        <w:rPr>
          <w:rFonts w:eastAsia="Times New Roman" w:cs="Times New Roman CYR" w:ascii="Times New Roman CYR" w:hAnsi="Times New Roman CYR"/>
          <w:bCs/>
          <w:sz w:val="28"/>
          <w:szCs w:val="28"/>
          <w:lang w:eastAsia="ru-RU"/>
        </w:rPr>
        <w:t xml:space="preserve">Об утверждении </w:t>
      </w:r>
      <w:hyperlink w:anchor="Par27">
        <w:r>
          <w:rPr>
            <w:rStyle w:val="ListLabel19"/>
            <w:rFonts w:eastAsia="Times New Roman" w:cs="Times New Roman" w:ascii="Times New Roman" w:hAnsi="Times New Roman"/>
            <w:sz w:val="28"/>
            <w:szCs w:val="28"/>
            <w:lang w:eastAsia="ru-RU"/>
          </w:rPr>
          <w:t>перечня</w:t>
        </w:r>
      </w:hyperlink>
      <w:r>
        <w:rPr>
          <w:rFonts w:eastAsia="Times New Roman" w:cs="Times New Roman" w:ascii="Times New Roman" w:hAnsi="Times New Roman"/>
          <w:sz w:val="28"/>
          <w:szCs w:val="28"/>
          <w:lang w:eastAsia="ru-RU"/>
        </w:rPr>
        <w:t xml:space="preserve"> муниципальных услуг, предоставляемых администрацией города Бердска на базе филиала государственного автономного учреждения Новосибирской области «Многофункциональный центр организации предоставления государственных и муниципальных услуг Новосибирской области»</w:t>
      </w:r>
    </w:p>
    <w:p>
      <w:pPr>
        <w:pStyle w:val="Normal"/>
        <w:spacing w:lineRule="auto" w:line="240" w:before="0" w:after="0"/>
        <w:ind w:firstLine="540"/>
        <w:jc w:val="both"/>
        <w:rPr>
          <w:rFonts w:ascii="Arial" w:hAnsi="Arial" w:cs="Arial"/>
          <w:sz w:val="28"/>
          <w:szCs w:val="28"/>
        </w:rPr>
      </w:pPr>
      <w:r>
        <w:rPr>
          <w:rFonts w:cs="Arial" w:ascii="Arial" w:hAnsi="Arial"/>
          <w:sz w:val="28"/>
          <w:szCs w:val="28"/>
        </w:rPr>
      </w:r>
    </w:p>
    <w:p>
      <w:pPr>
        <w:pStyle w:val="Normal"/>
        <w:spacing w:lineRule="auto" w:line="240" w:before="0" w:after="0"/>
        <w:ind w:firstLine="54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 xml:space="preserve">В соответствии с Федеральным </w:t>
      </w:r>
      <w:hyperlink r:id="rId2">
        <w:r>
          <w:rPr>
            <w:rStyle w:val="ListLabel20"/>
            <w:rFonts w:cs="Times New Roman" w:ascii="Times New Roman" w:hAnsi="Times New Roman"/>
            <w:color w:themeColor="text1" w:val="000000"/>
            <w:sz w:val="28"/>
            <w:szCs w:val="28"/>
          </w:rPr>
          <w:t>законом</w:t>
        </w:r>
      </w:hyperlink>
      <w:r>
        <w:rPr>
          <w:rFonts w:cs="Times New Roman" w:ascii="Times New Roman" w:hAnsi="Times New Roman"/>
          <w:color w:themeColor="text1" w:val="000000"/>
          <w:sz w:val="28"/>
          <w:szCs w:val="28"/>
        </w:rPr>
        <w:t xml:space="preserve"> от 27.07.2010 № 210-ФЗ «Об организации предоставления государственных и муниципальных услуг», </w:t>
      </w:r>
      <w:hyperlink r:id="rId3">
        <w:r>
          <w:rPr>
            <w:rStyle w:val="ListLabel21"/>
            <w:rFonts w:cs="Times New Roman" w:ascii="Times New Roman" w:hAnsi="Times New Roman"/>
            <w:color w:themeColor="text1" w:val="000000"/>
            <w:sz w:val="28"/>
            <w:szCs w:val="28"/>
          </w:rPr>
          <w:t>постановлением</w:t>
        </w:r>
      </w:hyperlink>
      <w:r>
        <w:rPr>
          <w:rFonts w:cs="Times New Roman" w:ascii="Times New Roman" w:hAnsi="Times New Roman"/>
          <w:color w:themeColor="text1" w:val="000000"/>
          <w:sz w:val="28"/>
          <w:szCs w:val="28"/>
        </w:rPr>
        <w:t xml:space="preserve">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руководствуясь </w:t>
      </w:r>
      <w:hyperlink r:id="rId4">
        <w:r>
          <w:rPr>
            <w:rStyle w:val="ListLabel22"/>
            <w:rFonts w:cs="Times New Roman" w:ascii="Times New Roman" w:hAnsi="Times New Roman"/>
            <w:color w:themeColor="text1" w:val="000000"/>
            <w:sz w:val="28"/>
            <w:szCs w:val="28"/>
          </w:rPr>
          <w:t>Уставом</w:t>
        </w:r>
      </w:hyperlink>
      <w:r>
        <w:rPr>
          <w:rFonts w:cs="Times New Roman" w:ascii="Times New Roman" w:hAnsi="Times New Roman"/>
          <w:color w:themeColor="text1" w:val="000000"/>
          <w:sz w:val="28"/>
          <w:szCs w:val="28"/>
        </w:rPr>
        <w:t xml:space="preserve"> города Бердска, </w:t>
      </w:r>
    </w:p>
    <w:p>
      <w:pPr>
        <w:pStyle w:val="Normal"/>
        <w:spacing w:lineRule="auto" w:line="240" w:before="0" w:after="0"/>
        <w:jc w:val="both"/>
        <w:rPr>
          <w:rFonts w:ascii="Times New Roman" w:hAnsi="Times New Roman" w:cs="Times New Roman"/>
          <w:color w:themeColor="text1" w:val="000000"/>
          <w:sz w:val="28"/>
          <w:szCs w:val="28"/>
        </w:rPr>
      </w:pPr>
      <w:r>
        <w:rPr>
          <w:rFonts w:cs="Times New Roman" w:ascii="Times New Roman" w:hAnsi="Times New Roman"/>
          <w:color w:themeColor="text1" w:val="000000"/>
          <w:sz w:val="28"/>
          <w:szCs w:val="28"/>
        </w:rPr>
        <w:t>ПОСТАНОВЛЯЮ:</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color w:themeColor="text1" w:val="000000"/>
          <w:sz w:val="28"/>
          <w:szCs w:val="28"/>
        </w:rPr>
        <w:t xml:space="preserve">1. Утвердить </w:t>
      </w:r>
      <w:hyperlink r:id="rId5">
        <w:r>
          <w:rPr>
            <w:rStyle w:val="ListLabel23"/>
            <w:rFonts w:cs="Times New Roman" w:ascii="Times New Roman" w:hAnsi="Times New Roman"/>
            <w:color w:themeColor="text1" w:val="000000"/>
            <w:sz w:val="28"/>
            <w:szCs w:val="28"/>
          </w:rPr>
          <w:t>перечень</w:t>
        </w:r>
      </w:hyperlink>
      <w:r>
        <w:rPr>
          <w:rFonts w:cs="Times New Roman" w:ascii="Times New Roman" w:hAnsi="Times New Roman"/>
          <w:sz w:val="28"/>
          <w:szCs w:val="28"/>
        </w:rPr>
        <w:t xml:space="preserve"> муниципальных услуг, предоставляемых администрацией города Бердска на базе филиала государственного автономного учреждения Новосибирской области «Многофункциональный центр организации предоставления государственных и муниципальных услуг Новосибирской области» (приложение).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2. </w:t>
      </w:r>
      <w:r>
        <w:rPr>
          <w:rFonts w:eastAsia="Times New Roman" w:cs="Times New Roman" w:ascii="Times New Roman" w:hAnsi="Times New Roman"/>
          <w:sz w:val="28"/>
          <w:szCs w:val="28"/>
          <w:lang w:eastAsia="ru-RU"/>
        </w:rPr>
        <w:t>Признать утратившими силу постановления администрации города Бердска:</w:t>
      </w:r>
    </w:p>
    <w:p>
      <w:pPr>
        <w:pStyle w:val="Normal"/>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w:t>
      </w:r>
      <w:r>
        <w:rPr>
          <w:rFonts w:cs="Times New Roman" w:ascii="Times New Roman" w:hAnsi="Times New Roman"/>
          <w:sz w:val="28"/>
          <w:szCs w:val="28"/>
        </w:rPr>
        <w:t>от 06.10.2021 № 3069 «Об утверждении перечня муниципальных услуг, предоставляемых администрацией города Бердска на базе филиала государственного автономного учреждения Новосибирской области «Многофункциональный центр организации предоставления государственных и муниципальных услуг Новосибирской области»;</w:t>
      </w:r>
    </w:p>
    <w:p>
      <w:pPr>
        <w:pStyle w:val="Normal"/>
        <w:spacing w:lineRule="auto" w:line="240" w:before="0" w:after="0"/>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2) </w:t>
      </w:r>
      <w:r>
        <w:rPr>
          <w:rFonts w:cs="Times New Roman" w:ascii="Times New Roman" w:hAnsi="Times New Roman"/>
          <w:sz w:val="28"/>
          <w:szCs w:val="28"/>
        </w:rPr>
        <w:t>от 11.08.2023 № 3627/65 «О внесении изменений в постановление администрации города Бердска от 06.10.2021 № 3069 «Об утверждении перечня муниципальных услуг, предоставляемых администрацией города Бердска на базе филиала государственного автономного учреждения Новосибирской области «Многофункциональный центр организации предоставления государственных и муниципальных услуг Новосибирской области»;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 от 03.06.2024 № 2184/65 «О внесении изменений в постановление администрации города Бердска от 06.10.2021 № 3069 «Об утверждении перечня муниципальных услуг, предоставляемых администрацией города Бердска на базе филиала государственного автономного учреждения Новосибирской области «Многофункциональный центр организации предоставления государственных и муниципальных услуг Новосибирской области»;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 от 02.10.2024 № 4179/65 «О внесении изменений в постановление администрации города Бердска от 06.10.2021 № 3069 «Об утверждении перечня муниципальных услуг, предоставляемых администрацией города Бердска на базе филиала государственного автономного учреждения Новосибирской области «Многофункциональный центр организации предоставления государственных и муниципальных услуг Новосибирской области»;</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3. </w:t>
      </w:r>
      <w:bookmarkStart w:id="0" w:name="__DdeLink__34985_569655918"/>
      <w:r>
        <w:rPr>
          <w:rFonts w:cs="Times New Roman" w:ascii="Times New Roman" w:hAnsi="Times New Roman"/>
          <w:color w:val="000000"/>
          <w:sz w:val="28"/>
          <w:szCs w:val="28"/>
          <w:lang w:val="en-US"/>
        </w:rPr>
        <w:t>Опубликовать настоящее постановление в печатном издании «Официальный вестник органов местного самоуправления города Бердска «Вестник. Бердск», сетевом издании «Вестник-Бердск» и разместить на официальном сайте администрации города Бердска</w:t>
      </w:r>
      <w:bookmarkEnd w:id="0"/>
      <w:r>
        <w:rPr>
          <w:rFonts w:cs="Times New Roman" w:ascii="Times New Roman" w:hAnsi="Times New Roman"/>
          <w:color w:val="000000"/>
          <w:sz w:val="28"/>
          <w:szCs w:val="28"/>
          <w:lang w:val="en-US"/>
        </w:rPr>
        <w:t>.</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4.</w:t>
      </w:r>
      <w:r>
        <w:rPr/>
        <w:t> </w:t>
      </w:r>
      <w:r>
        <w:rPr>
          <w:rFonts w:cs="Times New Roman" w:ascii="Times New Roman" w:hAnsi="Times New Roman"/>
          <w:sz w:val="28"/>
          <w:szCs w:val="28"/>
        </w:rPr>
        <w:t xml:space="preserve">Контроль за исполнением постановления возложить на заместителя главы  администрации по экономическим вопросам </w:t>
      </w:r>
      <w:r>
        <w:rPr>
          <w:rFonts w:eastAsia="Times New Roman" w:cs="Times New Roman" w:ascii="Times New Roman" w:hAnsi="Times New Roman"/>
          <w:sz w:val="28"/>
          <w:szCs w:val="28"/>
          <w:lang w:eastAsia="ru-RU"/>
        </w:rPr>
        <w:t>Шляхто В.Е.</w:t>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tbl>
      <w:tblPr>
        <w:tblStyle w:val="ab"/>
        <w:tblW w:w="10038"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068"/>
        <w:gridCol w:w="4969"/>
      </w:tblGrid>
      <w:tr>
        <w:trPr/>
        <w:tc>
          <w:tcPr>
            <w:tcW w:w="5068" w:type="dxa"/>
            <w:tcBorders>
              <w:top w:val="nil"/>
              <w:left w:val="nil"/>
              <w:bottom w:val="nil"/>
              <w:right w:val="nil"/>
            </w:tcBorders>
          </w:tcPr>
          <w:p>
            <w:pPr>
              <w:pStyle w:val="Normal"/>
              <w:widowControl/>
              <w:suppressAutoHyphens w:val="true"/>
              <w:spacing w:lineRule="auto" w:line="240" w:before="0" w:after="0"/>
              <w:jc w:val="left"/>
              <w:rPr>
                <w:rFonts w:ascii="Calibri" w:hAnsi="Calibri" w:eastAsia="Calibri" w:cs=""/>
                <w:kern w:val="0"/>
                <w:sz w:val="22"/>
                <w:szCs w:val="22"/>
                <w:lang w:val="ru-RU" w:eastAsia="en-US" w:bidi="ar-SA"/>
              </w:rPr>
            </w:pPr>
            <w:r>
              <w:rPr>
                <w:rFonts w:eastAsia="Calibri" w:cs="Times New Roman" w:ascii="Times New Roman" w:hAnsi="Times New Roman"/>
                <w:kern w:val="0"/>
                <w:sz w:val="28"/>
                <w:szCs w:val="28"/>
                <w:lang w:val="ru-RU" w:eastAsia="en-US" w:bidi="ar-SA"/>
              </w:rPr>
              <w:t>Главы города Бердска</w:t>
            </w:r>
          </w:p>
        </w:tc>
        <w:tc>
          <w:tcPr>
            <w:tcW w:w="4969" w:type="dxa"/>
            <w:tcBorders>
              <w:top w:val="nil"/>
              <w:left w:val="nil"/>
              <w:bottom w:val="nil"/>
              <w:right w:val="nil"/>
            </w:tcBorders>
          </w:tcPr>
          <w:p>
            <w:pPr>
              <w:pStyle w:val="Normal"/>
              <w:widowControl/>
              <w:suppressAutoHyphens w:val="true"/>
              <w:spacing w:lineRule="auto" w:line="240" w:before="0" w:after="0"/>
              <w:jc w:val="right"/>
              <w:rPr>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С.Ю. Лапицкий</w:t>
            </w:r>
          </w:p>
        </w:tc>
      </w:tr>
    </w:tbl>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lineRule="auto" w:line="240" w:before="0" w:after="0"/>
        <w:jc w:val="both"/>
        <w:rPr>
          <w:rFonts w:ascii="Times New Roman" w:hAnsi="Times New Roman" w:cs="Times New Roman"/>
        </w:rPr>
      </w:pPr>
      <w:r>
        <w:rPr>
          <w:rFonts w:cs="Times New Roman" w:ascii="Times New Roman" w:hAnsi="Times New Roman"/>
        </w:rPr>
        <w:t>М.В. Дубровская</w:t>
      </w:r>
    </w:p>
    <w:p>
      <w:pPr>
        <w:pStyle w:val="Normal"/>
        <w:spacing w:lineRule="auto" w:line="240" w:before="0" w:after="0"/>
        <w:jc w:val="both"/>
        <w:rPr>
          <w:rFonts w:ascii="Times New Roman" w:hAnsi="Times New Roman" w:cs="Times New Roman"/>
        </w:rPr>
      </w:pPr>
      <w:r>
        <w:rPr>
          <w:rFonts w:cs="Times New Roman" w:ascii="Times New Roman" w:hAnsi="Times New Roman"/>
        </w:rPr>
        <w:t>31300</w:t>
      </w:r>
      <w:r>
        <w:br w:type="page"/>
      </w:r>
    </w:p>
    <w:tbl>
      <w:tblPr>
        <w:tblW w:w="10137"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5778"/>
        <w:gridCol w:w="4358"/>
      </w:tblGrid>
      <w:tr>
        <w:trPr/>
        <w:tc>
          <w:tcPr>
            <w:tcW w:w="5778" w:type="dxa"/>
            <w:tcBorders/>
            <w:shd w:color="auto" w:fill="auto" w:val="clear"/>
          </w:tcPr>
          <w:p>
            <w:pPr>
              <w:pStyle w:val="Normal"/>
              <w:pageBreakBefore/>
              <w:spacing w:lineRule="auto" w:line="240" w:before="0" w:after="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r>
          </w:p>
        </w:tc>
        <w:tc>
          <w:tcPr>
            <w:tcW w:w="4358" w:type="dxa"/>
            <w:tcBorders/>
            <w:shd w:color="auto" w:fill="auto" w:val="clear"/>
          </w:tcPr>
          <w:p>
            <w:pPr>
              <w:pStyle w:val="Normal"/>
              <w:spacing w:lineRule="auto" w:line="240" w:before="0" w:after="0"/>
              <w:jc w:val="center"/>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ПРИЛОЖЕНИЕ</w:t>
            </w:r>
          </w:p>
          <w:p>
            <w:pPr>
              <w:pStyle w:val="Normal"/>
              <w:spacing w:lineRule="auto" w:line="240" w:before="0" w:after="0"/>
              <w:jc w:val="center"/>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к постановлению администрации города Бердска</w:t>
            </w:r>
          </w:p>
          <w:p>
            <w:pPr>
              <w:pStyle w:val="Normal"/>
              <w:spacing w:lineRule="auto" w:line="240" w:before="0" w:after="0"/>
              <w:jc w:val="center"/>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 xml:space="preserve">от </w:t>
            </w:r>
            <w:r>
              <w:rPr>
                <w:rFonts w:eastAsia="Times New Roman" w:cs="Times New Roman" w:ascii="Times New Roman" w:hAnsi="Times New Roman"/>
                <w:bCs/>
                <w:sz w:val="28"/>
                <w:szCs w:val="28"/>
                <w:lang w:eastAsia="ru-RU"/>
              </w:rPr>
              <w:t>23.07.2026</w:t>
            </w:r>
            <w:r>
              <w:rPr>
                <w:rFonts w:eastAsia="Times New Roman" w:cs="Times New Roman" w:ascii="Times New Roman" w:hAnsi="Times New Roman"/>
                <w:bCs/>
                <w:sz w:val="28"/>
                <w:szCs w:val="28"/>
                <w:lang w:eastAsia="ru-RU"/>
              </w:rPr>
              <w:t xml:space="preserve"> № </w:t>
            </w:r>
            <w:r>
              <w:rPr>
                <w:rFonts w:eastAsia="Times New Roman" w:cs="Times New Roman" w:ascii="Times New Roman" w:hAnsi="Times New Roman"/>
                <w:bCs/>
                <w:sz w:val="28"/>
                <w:szCs w:val="28"/>
                <w:lang w:eastAsia="ru-RU"/>
              </w:rPr>
              <w:t>2603/65</w:t>
            </w:r>
          </w:p>
        </w:tc>
      </w:tr>
    </w:tbl>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 xml:space="preserve">ПЕРЕЧЕНЬ </w:t>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 xml:space="preserve">муниципальных услуг, предоставляемых администрацией города Бердска </w:t>
      </w:r>
    </w:p>
    <w:p>
      <w:pPr>
        <w:pStyle w:val="Normal"/>
        <w:spacing w:lineRule="auto" w:line="240" w:before="0" w:after="0"/>
        <w:jc w:val="center"/>
        <w:rPr>
          <w:rFonts w:ascii="Times New Roman" w:hAnsi="Times New Roman" w:eastAsia="Times New Roman" w:cs="Times New Roman"/>
          <w:b/>
          <w:sz w:val="28"/>
          <w:szCs w:val="28"/>
          <w:lang w:eastAsia="ru-RU"/>
        </w:rPr>
      </w:pPr>
      <w:r>
        <w:rPr>
          <w:rFonts w:eastAsia="Times New Roman" w:cs="Times New Roman" w:ascii="Times New Roman" w:hAnsi="Times New Roman"/>
          <w:b/>
          <w:sz w:val="28"/>
          <w:szCs w:val="28"/>
          <w:lang w:eastAsia="ru-RU"/>
        </w:rPr>
        <w:t>на базе филиала государственного автономного учреждения Новосибирской области «Многофункциональный центр организации предоставления государственных и муниципальных услуг Новосибирской области»</w:t>
      </w:r>
    </w:p>
    <w:p>
      <w:pPr>
        <w:pStyle w:val="Normal"/>
        <w:spacing w:lineRule="auto" w:line="240" w:before="0" w:after="0"/>
        <w:jc w:val="both"/>
        <w:rPr>
          <w:rFonts w:ascii="Times New Roman" w:hAnsi="Times New Roman" w:cs="Times New Roman"/>
          <w:sz w:val="28"/>
          <w:szCs w:val="28"/>
        </w:rPr>
      </w:pPr>
      <w:r>
        <w:rPr>
          <w:rFonts w:cs="Times New Roman" w:ascii="Times New Roman" w:hAnsi="Times New Roman"/>
          <w:sz w:val="28"/>
          <w:szCs w:val="28"/>
        </w:rPr>
      </w:r>
    </w:p>
    <w:tbl>
      <w:tblPr>
        <w:tblW w:w="9925" w:type="dxa"/>
        <w:jc w:val="left"/>
        <w:tblInd w:w="116" w:type="dxa"/>
        <w:tblLayout w:type="fixed"/>
        <w:tblCellMar>
          <w:top w:w="0" w:type="dxa"/>
          <w:left w:w="108" w:type="dxa"/>
          <w:bottom w:w="0" w:type="dxa"/>
          <w:right w:w="108" w:type="dxa"/>
        </w:tblCellMar>
        <w:tblLook w:val="00a0" w:noHBand="0" w:noVBand="0" w:firstColumn="1" w:lastRow="0" w:lastColumn="0" w:firstRow="1"/>
      </w:tblPr>
      <w:tblGrid>
        <w:gridCol w:w="904"/>
        <w:gridCol w:w="5603"/>
        <w:gridCol w:w="3418"/>
      </w:tblGrid>
      <w:tr>
        <w:trPr>
          <w:tblHeader w:val="true"/>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14" w:after="114"/>
              <w:jc w:val="center"/>
              <w:rPr>
                <w:rFonts w:ascii="Times New Roman" w:hAnsi="Times New Roman"/>
                <w:sz w:val="24"/>
                <w:szCs w:val="24"/>
              </w:rPr>
            </w:pPr>
            <w:r>
              <w:rPr>
                <w:rFonts w:cs="Times New Roman" w:ascii="Times New Roman" w:hAnsi="Times New Roman"/>
                <w:sz w:val="24"/>
                <w:szCs w:val="24"/>
              </w:rPr>
              <w:t>№</w:t>
            </w:r>
          </w:p>
          <w:p>
            <w:pPr>
              <w:pStyle w:val="Normal"/>
              <w:spacing w:lineRule="auto" w:line="240" w:before="114" w:after="114"/>
              <w:jc w:val="center"/>
              <w:rPr>
                <w:rFonts w:ascii="Times New Roman" w:hAnsi="Times New Roman"/>
                <w:sz w:val="24"/>
                <w:szCs w:val="24"/>
              </w:rPr>
            </w:pPr>
            <w:r>
              <w:rPr>
                <w:rFonts w:cs="Times New Roman" w:ascii="Times New Roman" w:hAnsi="Times New Roman"/>
                <w:sz w:val="24"/>
                <w:szCs w:val="24"/>
              </w:rPr>
              <w:t>п/п</w:t>
            </w:r>
          </w:p>
        </w:tc>
        <w:tc>
          <w:tcPr>
            <w:tcW w:w="560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114" w:after="114"/>
              <w:jc w:val="center"/>
              <w:rPr>
                <w:rFonts w:ascii="Times New Roman" w:hAnsi="Times New Roman"/>
                <w:sz w:val="24"/>
                <w:szCs w:val="24"/>
              </w:rPr>
            </w:pPr>
            <w:r>
              <w:rPr>
                <w:rFonts w:cs="Times New Roman" w:ascii="Times New Roman" w:hAnsi="Times New Roman"/>
                <w:sz w:val="24"/>
                <w:szCs w:val="24"/>
              </w:rPr>
              <w:t>Наименование муниципальной услуги</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center"/>
              <w:rPr>
                <w:rFonts w:ascii="Times New Roman" w:hAnsi="Times New Roman"/>
                <w:sz w:val="24"/>
                <w:szCs w:val="24"/>
              </w:rPr>
            </w:pPr>
            <w:r>
              <w:rPr>
                <w:rFonts w:cs="Times New Roman" w:ascii="Times New Roman" w:hAnsi="Times New Roman"/>
                <w:sz w:val="24"/>
                <w:szCs w:val="24"/>
              </w:rPr>
              <w:t>Ответственный</w:t>
            </w:r>
          </w:p>
          <w:p>
            <w:pPr>
              <w:pStyle w:val="Normal"/>
              <w:spacing w:lineRule="auto" w:line="240" w:before="114" w:after="114"/>
              <w:jc w:val="center"/>
              <w:rPr>
                <w:rFonts w:ascii="Times New Roman" w:hAnsi="Times New Roman"/>
                <w:sz w:val="24"/>
                <w:szCs w:val="24"/>
              </w:rPr>
            </w:pPr>
            <w:r>
              <w:rPr>
                <w:rFonts w:cs="Times New Roman" w:ascii="Times New Roman" w:hAnsi="Times New Roman"/>
                <w:sz w:val="24"/>
                <w:szCs w:val="24"/>
              </w:rPr>
              <w:t>исполнитель</w:t>
            </w:r>
          </w:p>
        </w:tc>
      </w:tr>
      <w:tr>
        <w:trPr>
          <w:trHeight w:val="412" w:hRule="atLeast"/>
        </w:trPr>
        <w:tc>
          <w:tcPr>
            <w:tcW w:w="904" w:type="dxa"/>
            <w:tcBorders>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lang w:val="en-US"/>
              </w:rPr>
            </w:pPr>
            <w:r>
              <w:rPr>
                <w:rFonts w:cs="Times New Roman" w:ascii="Times New Roman" w:hAnsi="Times New Roman"/>
                <w:sz w:val="24"/>
                <w:szCs w:val="24"/>
                <w:lang w:val="en-US"/>
              </w:rPr>
            </w:r>
          </w:p>
        </w:tc>
        <w:tc>
          <w:tcPr>
            <w:tcW w:w="5603"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Заключение договоров бесплатной передачи в собственность граждан занимаемого ими жилого помещения в муниципальном жилищном фонде</w:t>
            </w:r>
          </w:p>
        </w:tc>
        <w:tc>
          <w:tcPr>
            <w:tcW w:w="3418" w:type="dxa"/>
            <w:tcBorders>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МКУ «Управление жилищно-коммунального хозяйства»</w:t>
            </w:r>
          </w:p>
        </w:tc>
      </w:tr>
      <w:tr>
        <w:trPr>
          <w:trHeight w:val="419" w:hRule="atLeast"/>
        </w:trPr>
        <w:tc>
          <w:tcPr>
            <w:tcW w:w="904" w:type="dxa"/>
            <w:tcBorders>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Заключение договоров передачи гражданами приватизированных жилых помещений в муниципальную собственность</w:t>
            </w:r>
          </w:p>
        </w:tc>
        <w:tc>
          <w:tcPr>
            <w:tcW w:w="3418" w:type="dxa"/>
            <w:tcBorders>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МКУ «Управление жилищно-коммунального хозяйства»</w:t>
            </w:r>
          </w:p>
        </w:tc>
      </w:tr>
      <w:tr>
        <w:trPr>
          <w:trHeight w:val="600" w:hRule="atLeast"/>
        </w:trPr>
        <w:tc>
          <w:tcPr>
            <w:tcW w:w="904" w:type="dxa"/>
            <w:tcBorders>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Заключение договоров социального найма с гражданами, проживающими в муниципальном жилищном фонде социального использования на основании ордера</w:t>
            </w:r>
          </w:p>
        </w:tc>
        <w:tc>
          <w:tcPr>
            <w:tcW w:w="3418" w:type="dxa"/>
            <w:tcBorders>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МКУ «Управление жилищно-коммунального хозяйства»</w:t>
            </w:r>
          </w:p>
        </w:tc>
      </w:tr>
      <w:tr>
        <w:trPr>
          <w:trHeight w:val="300" w:hRule="atLeast"/>
        </w:trPr>
        <w:tc>
          <w:tcPr>
            <w:tcW w:w="904" w:type="dxa"/>
            <w:tcBorders>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Изменение договора социального найма жилого помещения муниципального жилищного фонда социального использования</w:t>
            </w:r>
          </w:p>
        </w:tc>
        <w:tc>
          <w:tcPr>
            <w:tcW w:w="3418" w:type="dxa"/>
            <w:tcBorders>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МКУ «Управление жилищно-коммунального хозяйства»</w:t>
            </w:r>
          </w:p>
        </w:tc>
      </w:tr>
      <w:tr>
        <w:trPr>
          <w:trHeight w:val="600" w:hRule="atLeast"/>
        </w:trPr>
        <w:tc>
          <w:tcPr>
            <w:tcW w:w="904" w:type="dxa"/>
            <w:tcBorders>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Заключение договоров социального найма с гражданами, осуществившими обмен жилыми помещениями муниципального жилищного фонда социального использования</w:t>
            </w:r>
          </w:p>
        </w:tc>
        <w:tc>
          <w:tcPr>
            <w:tcW w:w="3418" w:type="dxa"/>
            <w:tcBorders>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МКУ «Управление жилищно-коммунального хозяйства»</w:t>
            </w:r>
          </w:p>
        </w:tc>
      </w:tr>
      <w:tr>
        <w:trPr>
          <w:trHeight w:val="300" w:hRule="atLeast"/>
        </w:trPr>
        <w:tc>
          <w:tcPr>
            <w:tcW w:w="904" w:type="dxa"/>
            <w:tcBorders>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Признание граждан малоимущими в целях принятия на учет в качестве нуждающихся в жилых помещениях</w:t>
            </w:r>
          </w:p>
        </w:tc>
        <w:tc>
          <w:tcPr>
            <w:tcW w:w="3418" w:type="dxa"/>
            <w:tcBorders>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Отдел по жилищным вопросам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Согласование проведения переустройства и (или) перепланировки помещения в многоквартирном доме</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Управление градостроительства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40" w:before="114" w:after="114"/>
              <w:jc w:val="both"/>
              <w:rPr>
                <w:rFonts w:ascii="Times New Roman" w:hAnsi="Times New Roman" w:cs="Times New Roman"/>
                <w:sz w:val="24"/>
                <w:szCs w:val="24"/>
                <w:shd w:fill="FFFFFF" w:val="clear"/>
                <w:lang w:eastAsia="en-US"/>
              </w:rPr>
            </w:pPr>
            <w:r>
              <w:rPr>
                <w:rFonts w:cs="Times New Roman" w:ascii="Times New Roman" w:hAnsi="Times New Roman"/>
                <w:sz w:val="24"/>
                <w:szCs w:val="24"/>
                <w:shd w:fill="FFFFFF" w:val="clear"/>
                <w:lang w:eastAsia="en-US"/>
              </w:rPr>
              <w:t>Перевод жилого помещения в нежилое помещение и нежилого помещения в жилое помещение</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Управление градостроительства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Предоставление разрешения на условно разрешенный вид использования земельного участка или объекта капитального строительства</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Управление градостроительства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Управление градостроительства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40" w:before="114" w:after="114"/>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Выдача градостроительного плана земельного участка</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Управление градостроительства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40" w:before="114" w:after="114"/>
              <w:jc w:val="both"/>
              <w:rPr>
                <w:rFonts w:ascii="Times New Roman" w:hAnsi="Times New Roman" w:cs="Times New Roman"/>
                <w:sz w:val="24"/>
                <w:szCs w:val="24"/>
                <w:shd w:fill="FFFFFF" w:val="clear"/>
                <w:lang w:eastAsia="en-US"/>
              </w:rPr>
            </w:pPr>
            <w:r>
              <w:rPr>
                <w:rFonts w:cs="Times New Roman" w:ascii="Times New Roman" w:hAnsi="Times New Roman"/>
                <w:sz w:val="24"/>
                <w:szCs w:val="24"/>
                <w:shd w:fill="FFFFFF" w:val="clear"/>
                <w:lang w:eastAsia="en-US"/>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Управление градостроительства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Выдача разрешений на ввод объекта в эксплуатацию</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Управление градостроительства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Предоставление сведений, содержащихся в информационной системе обеспечения градостроительной деятельности</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Управление градостроительства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Отдел по управлению муниципальным имуществом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Выдача сведений из реестра муниципального имущества</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Отдел по управлению муниципальным имуществом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Предоставление в безвозмездное пользование имущества муниципальной казны без проведения торгов</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Отдел по управлению муниципальным имуществом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Предоставление в аренду имущества муниципальной казны без проведения торгов</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Отдел по управлению муниципальным имуществом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Утверждение схемы расположения земельного участка или земельных участков на кадастровом плане территории</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Управление земельных отношений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Предоставление садового или огородного земельного участка без проведения торгов в собственность бесплатно гражданам, являющимся членами некоммерческих организаций, в случае если земельный участок образован из земельного участка, предоставленного некоммерческой организации до вступления в силу Федерального закона от 25.10.2001 № 137-ФЗ «О введении в действие Земельного кодекса Российской Федерации»</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Управление земельных отношений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без проведения торгов</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Управление земельных отношений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Предоставление земельных участков в собственность бесплатно</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Управление земельных отношений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Предоставление земельных участков в безвозмездное пользование</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Управление земельных отношений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Предварительное согласование предоставления земельного участка</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Управление земельных отношений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Предоставление земельных участков в постоянное (бессрочное) пользование</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Управление земельных отношений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40" w:before="114" w:after="114"/>
              <w:jc w:val="both"/>
              <w:rPr>
                <w:rFonts w:ascii="Times New Roman" w:hAnsi="Times New Roman" w:cs="Times New Roman"/>
                <w:sz w:val="24"/>
                <w:szCs w:val="24"/>
                <w:shd w:fill="FFFFFF" w:val="clear"/>
                <w:lang w:eastAsia="en-US"/>
              </w:rPr>
            </w:pPr>
            <w:r>
              <w:rPr>
                <w:rFonts w:cs="Times New Roman" w:ascii="Times New Roman" w:hAnsi="Times New Roman"/>
                <w:sz w:val="24"/>
                <w:szCs w:val="24"/>
                <w:shd w:fill="FFFFFF" w:val="clear"/>
                <w:lang w:eastAsia="en-US"/>
              </w:rPr>
              <w:t>Муниципальная экспертиза проекта освоения лесов</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Управление земельных отношений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Выдача разрешения на использование земель или земельных участков без предоставления земельных участков и установления сервитута в установленных Правительством Российской Федерации случаях</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Управление земельных отношений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Заключение соглашения о перераспределении земель и (или) земельных участков, находящихся в муниципальной собственности, и земельных участков, находящихся в частной собственности</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Управление земельных отношений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shd w:fill="FFFFFF" w:val="clear"/>
              </w:rPr>
              <w:t>Предоставление разрешения на осуществление земляных работ</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МКУ «Управление жилищно-коммунального хозяйства»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Выдача разрешения на снос, замену, пересадку, обрезку зеленых насаждений</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МБУ «Управление природными ресурсами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Постановка на учет и направление детей в образовательные учреждения, реализующие образовательные программы дошкольного образования</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Муниципальное казенное учреждение «Управление образования и молодежной политики»</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Выдача справки об использовании (неиспользовании) гражданином права на приватизацию жилых помещений</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МКУ «Управление жилищно-коммунального хозяйства»</w:t>
            </w:r>
          </w:p>
        </w:tc>
      </w:tr>
      <w:tr>
        <w:trPr>
          <w:trHeight w:val="673"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Выдача, продление срока действия, переоформление разрешений на право организации розничного рынка</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Отдел промышленности, торговли и развития предпринимательства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Выдача разрешений на установку и эксплуатацию рекламных конструкций, аннулирование таких разрешений</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МКУ «Управление жилищно-коммунального хозяйства»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Предоставление информации об очередности предоставления жилых помещений муниципального жилищного фонда на условиях социального найма</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Отдел по жилищным вопросам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Принятие на учет граждан в качестве нуждающихся в жилых помещениях</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Отдел по жилищным вопросам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40" w:before="114" w:after="114"/>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Предоставление жилого помещения по договору социального найма</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Отдел по жилищным вопросам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Предоставление служебных жилых помещений муниципального специализированного жилищного фонда</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Отдел по жилищным вопросам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Предоставление жилых помещений маневренного фонда муниципального специализированного жилищного фонда</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Отдел по жилищным вопросам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Предоставление информации об организации общедоступного и бесплатного дошкольного, начального общего, основного общего, среднего общего образования, а также дополнительного образования детей в образовательных организациях</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Муниципальное казенное учреждение «Управление образования и молодежной политики»</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40" w:before="114" w:after="114"/>
              <w:jc w:val="both"/>
              <w:rPr>
                <w:rFonts w:ascii="Times New Roman" w:hAnsi="Times New Roman" w:cs="Times New Roman"/>
                <w:sz w:val="24"/>
                <w:szCs w:val="24"/>
                <w:shd w:fill="FFFFFF" w:val="clear"/>
                <w:lang w:eastAsia="en-US"/>
              </w:rPr>
            </w:pPr>
            <w:r>
              <w:rPr>
                <w:rFonts w:cs="Times New Roman" w:ascii="Times New Roman" w:hAnsi="Times New Roman"/>
                <w:sz w:val="24"/>
                <w:szCs w:val="24"/>
                <w:shd w:fill="FFFFFF" w:val="clear"/>
                <w:lang w:eastAsia="en-US"/>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Управление градостроительства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40" w:before="114" w:after="114"/>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Управление градостроительства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Предоставление земельных участков в аренду без проведения торгов</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Управление земельных отношений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Продажа земельных участков без проведения торгов</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Управление земельных отношений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40" w:before="114" w:after="114"/>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Присвоение адреса объекту адресации, изменение и аннулирование такого адреса</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Управление градостроительства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Предоставление земельного участка, относящегося к имуществу общего пользования, садоводческого, огороднического некоммерческого объединения граждан, в случае если земельный участок образован из земельного участка, предоставленного до 08.11.2001 для ведения садоводства, огородничества указанному объединению либо иной организации, при которой было создано или организовано указанное объединение, без проведения торгов в собственность бесплатно</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Управление земельных отношений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Выдача разрешения на использование земель или земельных участков без предоставления земельных участков и установления сервитута в установленных Земельным кодексом случаях</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Управление земельных отношений администрации города Бердска</w:t>
            </w:r>
          </w:p>
        </w:tc>
      </w:tr>
      <w:tr>
        <w:trPr>
          <w:trHeight w:val="496" w:hRule="atLeast"/>
        </w:trPr>
        <w:tc>
          <w:tcPr>
            <w:tcW w:w="904" w:type="dxa"/>
            <w:tcBorders>
              <w:top w:val="single" w:sz="4" w:space="0" w:color="000000"/>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cs="Times New Roman"/>
                <w:sz w:val="24"/>
                <w:szCs w:val="24"/>
                <w:shd w:fill="FFFFFF" w:val="clear"/>
                <w:lang w:eastAsia="en-US"/>
              </w:rPr>
            </w:pPr>
            <w:r>
              <w:rPr>
                <w:rFonts w:cs="Times New Roman" w:ascii="Times New Roman" w:hAnsi="Times New Roman"/>
                <w:sz w:val="24"/>
                <w:szCs w:val="24"/>
                <w:shd w:fill="FFFFFF" w:val="clear"/>
                <w:lang w:eastAsia="en-US"/>
              </w:rPr>
              <w:t>Признание садового дома жилым домом или жилого дома садовым домом</w:t>
            </w:r>
          </w:p>
        </w:tc>
        <w:tc>
          <w:tcPr>
            <w:tcW w:w="3418" w:type="dxa"/>
            <w:tcBorders>
              <w:top w:val="single" w:sz="4" w:space="0" w:color="000000"/>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cs="Times New Roman" w:ascii="Times New Roman" w:hAnsi="Times New Roman"/>
                <w:sz w:val="24"/>
                <w:szCs w:val="24"/>
              </w:rPr>
              <w:t>Управление градостроительства администрации города Бердска</w:t>
            </w:r>
          </w:p>
        </w:tc>
      </w:tr>
      <w:tr>
        <w:trPr>
          <w:trHeight w:val="496" w:hRule="atLeast"/>
        </w:trPr>
        <w:tc>
          <w:tcPr>
            <w:tcW w:w="904" w:type="dxa"/>
            <w:tcBorders>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Предоставление земельных участков в собственность бесплатно отдельным категориям граждан</w:t>
            </w:r>
          </w:p>
        </w:tc>
        <w:tc>
          <w:tcPr>
            <w:tcW w:w="3418" w:type="dxa"/>
            <w:tcBorders>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ascii="Times New Roman" w:hAnsi="Times New Roman"/>
                <w:sz w:val="24"/>
                <w:szCs w:val="24"/>
              </w:rPr>
              <w:t>Управление земельных отношений администрации города Бердска</w:t>
            </w:r>
          </w:p>
        </w:tc>
      </w:tr>
      <w:tr>
        <w:trPr>
          <w:trHeight w:val="496" w:hRule="atLeast"/>
        </w:trPr>
        <w:tc>
          <w:tcPr>
            <w:tcW w:w="904" w:type="dxa"/>
            <w:tcBorders>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Принятие решений о подготовке, об утверждении документации по планировке территорий (проектов планировки, проектов межевания)</w:t>
            </w:r>
          </w:p>
        </w:tc>
        <w:tc>
          <w:tcPr>
            <w:tcW w:w="3418" w:type="dxa"/>
            <w:tcBorders>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ascii="Times New Roman" w:hAnsi="Times New Roman"/>
                <w:sz w:val="24"/>
                <w:szCs w:val="24"/>
              </w:rPr>
              <w:t>Управление градостроительства администрации города Бердска</w:t>
            </w:r>
          </w:p>
        </w:tc>
      </w:tr>
      <w:tr>
        <w:trPr>
          <w:trHeight w:val="496" w:hRule="atLeast"/>
        </w:trPr>
        <w:tc>
          <w:tcPr>
            <w:tcW w:w="904" w:type="dxa"/>
            <w:tcBorders>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tc>
        <w:tc>
          <w:tcPr>
            <w:tcW w:w="3418" w:type="dxa"/>
            <w:tcBorders>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ascii="Times New Roman" w:hAnsi="Times New Roman"/>
                <w:sz w:val="24"/>
                <w:szCs w:val="24"/>
              </w:rPr>
              <w:t>Управление градостроительства администрации города Бердска</w:t>
            </w:r>
          </w:p>
        </w:tc>
      </w:tr>
      <w:tr>
        <w:trPr>
          <w:trHeight w:val="496" w:hRule="atLeast"/>
        </w:trPr>
        <w:tc>
          <w:tcPr>
            <w:tcW w:w="904" w:type="dxa"/>
            <w:tcBorders>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40" w:before="114" w:after="114"/>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Выдача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подъема привязных аэростатов над территорией города Бердска, а также посадку (взлет) на площадки, расположенные в границах города, сведения о которых не опубликованы в документах аэронавигационной информации</w:t>
            </w:r>
          </w:p>
        </w:tc>
        <w:tc>
          <w:tcPr>
            <w:tcW w:w="3418" w:type="dxa"/>
            <w:tcBorders>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ascii="Times New Roman" w:hAnsi="Times New Roman"/>
                <w:sz w:val="24"/>
                <w:szCs w:val="24"/>
              </w:rPr>
              <w:t>Муниципальное казенное учреждение «Управление гражданской защиты г.Бердска»</w:t>
            </w:r>
          </w:p>
        </w:tc>
      </w:tr>
      <w:tr>
        <w:trPr>
          <w:trHeight w:val="496" w:hRule="atLeast"/>
        </w:trPr>
        <w:tc>
          <w:tcPr>
            <w:tcW w:w="904" w:type="dxa"/>
            <w:tcBorders>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left w:val="single" w:sz="4" w:space="0" w:color="000000"/>
              <w:bottom w:val="single" w:sz="4" w:space="0" w:color="000000"/>
              <w:right w:val="single" w:sz="4" w:space="0" w:color="000000"/>
            </w:tcBorders>
            <w:shd w:color="auto" w:fill="auto" w:val="clear"/>
            <w:vAlign w:val="center"/>
          </w:tcPr>
          <w:p>
            <w:pPr>
              <w:pStyle w:val="Normal"/>
              <w:spacing w:lineRule="auto" w:line="240" w:before="114" w:after="114"/>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Запись на обучение по дополнительной общеобразовательной программе</w:t>
            </w:r>
          </w:p>
        </w:tc>
        <w:tc>
          <w:tcPr>
            <w:tcW w:w="3418" w:type="dxa"/>
            <w:tcBorders>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ascii="Times New Roman" w:hAnsi="Times New Roman"/>
                <w:sz w:val="24"/>
                <w:szCs w:val="24"/>
              </w:rPr>
              <w:t>Муниципальное казенное учреждение «Управление образования и молодежной политики»</w:t>
            </w:r>
          </w:p>
        </w:tc>
      </w:tr>
      <w:tr>
        <w:trPr>
          <w:trHeight w:val="496" w:hRule="atLeast"/>
        </w:trPr>
        <w:tc>
          <w:tcPr>
            <w:tcW w:w="904" w:type="dxa"/>
            <w:tcBorders>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40" w:before="114" w:after="114"/>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Согласование проектной документации на проведение работ по сохранению объекта культурного наследия (памятника истории и культуры) народов Российской Федерации местного (муниципального) значения, включенного в единый государственный реестр объектов культурного наследия (памятников истории и культуры) народов Российской Федерации, выявленного объекта культурного наследия</w:t>
            </w:r>
          </w:p>
        </w:tc>
        <w:tc>
          <w:tcPr>
            <w:tcW w:w="3418" w:type="dxa"/>
            <w:tcBorders>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ascii="Times New Roman" w:hAnsi="Times New Roman"/>
                <w:sz w:val="24"/>
                <w:szCs w:val="24"/>
              </w:rPr>
              <w:t>Управление градостроительства администрации города Бердска</w:t>
            </w:r>
          </w:p>
        </w:tc>
      </w:tr>
      <w:tr>
        <w:trPr>
          <w:trHeight w:val="496" w:hRule="atLeast"/>
        </w:trPr>
        <w:tc>
          <w:tcPr>
            <w:tcW w:w="904" w:type="dxa"/>
            <w:tcBorders>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40" w:before="114" w:after="114"/>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Выдача задания на проведение работ по сохранению объекта культурного наследия местного (муниципального) значения, включенного в единый государственный реестр объектов культурного наследия (памятников истории и культуры) народов российской федерации, выявленного объекта культурного наследия</w:t>
            </w:r>
          </w:p>
        </w:tc>
        <w:tc>
          <w:tcPr>
            <w:tcW w:w="3418" w:type="dxa"/>
            <w:tcBorders>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ascii="Times New Roman" w:hAnsi="Times New Roman"/>
                <w:sz w:val="24"/>
                <w:szCs w:val="24"/>
              </w:rPr>
              <w:t>Управление градостроительства администрации города Бердска</w:t>
            </w:r>
          </w:p>
        </w:tc>
      </w:tr>
      <w:tr>
        <w:trPr>
          <w:trHeight w:val="496" w:hRule="atLeast"/>
        </w:trPr>
        <w:tc>
          <w:tcPr>
            <w:tcW w:w="904" w:type="dxa"/>
            <w:tcBorders>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40" w:before="114" w:after="114"/>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Прием лесных деклараций и отчетов об использовании лесов</w:t>
            </w:r>
          </w:p>
        </w:tc>
        <w:tc>
          <w:tcPr>
            <w:tcW w:w="3418" w:type="dxa"/>
            <w:tcBorders>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ascii="Times New Roman" w:hAnsi="Times New Roman"/>
                <w:sz w:val="24"/>
                <w:szCs w:val="24"/>
              </w:rPr>
              <w:t>Управление земельных отношений администрации города Бердска</w:t>
            </w:r>
          </w:p>
        </w:tc>
      </w:tr>
      <w:tr>
        <w:trPr>
          <w:trHeight w:val="496" w:hRule="atLeast"/>
        </w:trPr>
        <w:tc>
          <w:tcPr>
            <w:tcW w:w="904" w:type="dxa"/>
            <w:tcBorders>
              <w:left w:val="single" w:sz="4" w:space="0" w:color="000000"/>
              <w:bottom w:val="single" w:sz="4" w:space="0" w:color="000000"/>
              <w:right w:val="single" w:sz="4" w:space="0" w:color="000000"/>
            </w:tcBorders>
            <w:vAlign w:val="center"/>
          </w:tcPr>
          <w:p>
            <w:pPr>
              <w:pStyle w:val="Normal"/>
              <w:numPr>
                <w:ilvl w:val="0"/>
                <w:numId w:val="1"/>
              </w:numPr>
              <w:spacing w:lineRule="auto" w:line="240" w:before="114" w:after="114"/>
              <w:jc w:val="both"/>
              <w:rPr>
                <w:rFonts w:ascii="Times New Roman" w:hAnsi="Times New Roman" w:cs="Times New Roman"/>
                <w:sz w:val="24"/>
                <w:szCs w:val="24"/>
              </w:rPr>
            </w:pPr>
            <w:r>
              <w:rPr>
                <w:rFonts w:cs="Times New Roman" w:ascii="Times New Roman" w:hAnsi="Times New Roman"/>
                <w:sz w:val="24"/>
                <w:szCs w:val="24"/>
              </w:rPr>
            </w:r>
          </w:p>
        </w:tc>
        <w:tc>
          <w:tcPr>
            <w:tcW w:w="5603" w:type="dxa"/>
            <w:tcBorders>
              <w:left w:val="single" w:sz="4" w:space="0" w:color="000000"/>
              <w:bottom w:val="single" w:sz="4" w:space="0" w:color="000000"/>
              <w:right w:val="single" w:sz="4" w:space="0" w:color="000000"/>
            </w:tcBorders>
            <w:shd w:color="auto" w:fill="auto" w:val="clear"/>
            <w:vAlign w:val="center"/>
          </w:tcPr>
          <w:p>
            <w:pPr>
              <w:pStyle w:val="Normal"/>
              <w:suppressAutoHyphens w:val="false"/>
              <w:spacing w:lineRule="auto" w:line="240" w:before="114" w:after="114"/>
              <w:jc w:val="both"/>
              <w:rPr>
                <w:rFonts w:ascii="Times New Roman" w:hAnsi="Times New Roman" w:cs="Times New Roman"/>
                <w:sz w:val="24"/>
                <w:szCs w:val="24"/>
                <w:shd w:fill="FFFFFF" w:val="clear"/>
              </w:rPr>
            </w:pPr>
            <w:r>
              <w:rPr>
                <w:rFonts w:cs="Times New Roman" w:ascii="Times New Roman" w:hAnsi="Times New Roman"/>
                <w:sz w:val="24"/>
                <w:szCs w:val="24"/>
                <w:shd w:fill="FFFFFF" w:val="clear"/>
              </w:rPr>
              <w:t>Предоставление решения о согласовании архитектурно-градостроительного облика объекта</w:t>
            </w:r>
          </w:p>
        </w:tc>
        <w:tc>
          <w:tcPr>
            <w:tcW w:w="3418" w:type="dxa"/>
            <w:tcBorders>
              <w:left w:val="single" w:sz="4" w:space="0" w:color="000000"/>
              <w:bottom w:val="single" w:sz="4" w:space="0" w:color="000000"/>
              <w:right w:val="single" w:sz="4" w:space="0" w:color="000000"/>
            </w:tcBorders>
          </w:tcPr>
          <w:p>
            <w:pPr>
              <w:pStyle w:val="Normal"/>
              <w:spacing w:lineRule="auto" w:line="240" w:before="114" w:after="114"/>
              <w:jc w:val="both"/>
              <w:rPr>
                <w:rFonts w:ascii="Times New Roman" w:hAnsi="Times New Roman"/>
                <w:sz w:val="24"/>
                <w:szCs w:val="24"/>
              </w:rPr>
            </w:pPr>
            <w:r>
              <w:rPr>
                <w:rFonts w:ascii="Times New Roman" w:hAnsi="Times New Roman"/>
                <w:sz w:val="24"/>
                <w:szCs w:val="24"/>
              </w:rPr>
              <w:t>Управление градостроительства администрации города Бердска</w:t>
            </w:r>
          </w:p>
        </w:tc>
      </w:tr>
    </w:tbl>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r>
    </w:p>
    <w:p>
      <w:pPr>
        <w:pStyle w:val="Normal"/>
        <w:spacing w:lineRule="auto" w:line="240" w:before="0" w:after="0"/>
        <w:jc w:val="both"/>
        <w:rPr>
          <w:rFonts w:ascii="Times New Roman" w:hAnsi="Times New Roman" w:cs="Times New Roman"/>
        </w:rPr>
      </w:pPr>
      <w:r>
        <w:rPr>
          <w:rFonts w:cs="Times New Roman" w:ascii="Times New Roman" w:hAnsi="Times New Roman"/>
        </w:rPr>
      </w:r>
    </w:p>
    <w:sectPr>
      <w:headerReference w:type="even" r:id="rId6"/>
      <w:headerReference w:type="default" r:id="rId7"/>
      <w:headerReference w:type="first" r:id="rId8"/>
      <w:type w:val="nextPage"/>
      <w:pgSz w:w="11906" w:h="16838"/>
      <w:pgMar w:left="1418" w:right="567" w:gutter="0" w:header="0" w:top="1134" w:footer="0" w:bottom="1134"/>
      <w:pgNumType w:fmt="decimal"/>
      <w:formProt w:val="false"/>
      <w:titlePg/>
      <w:textDirection w:val="lrTb"/>
      <w:docGrid w:type="default" w:linePitch="299"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Arial">
    <w:charset w:val="01"/>
    <w:family w:val="roman"/>
    <w:pitch w:val="variable"/>
  </w:font>
  <w:font w:name="Times New Roman">
    <w:charset w:val="01"/>
    <w:family w:val="roman"/>
    <w:pitch w:val="variable"/>
  </w:font>
  <w:font w:name="Times New Roman CYR">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324788020"/>
    </w:sdtPr>
    <w:sdtContent>
      <w:p>
        <w:pPr>
          <w:pStyle w:val="Header"/>
          <w:jc w:val="center"/>
          <w:rPr/>
        </w:pPr>
        <w:r>
          <w:rPr/>
        </w:r>
      </w:p>
      <w:p>
        <w:pPr>
          <w:pStyle w:val="Header"/>
          <w:jc w:val="center"/>
          <w:rPr/>
        </w:pPr>
        <w:r>
          <w:rPr/>
        </w:r>
      </w:p>
      <w:p>
        <w:pPr>
          <w:pStyle w:val="Header"/>
          <w:jc w:val="center"/>
          <w:rPr/>
        </w:pPr>
        <w:r>
          <w:rPr/>
        </w:r>
      </w:p>
      <w:p>
        <w:pPr>
          <w:pStyle w:val="Header"/>
          <w:jc w:val="center"/>
          <w:rPr/>
        </w:pPr>
        <w:r>
          <w:rPr/>
          <w:fldChar w:fldCharType="begin"/>
        </w:r>
        <w:r>
          <w:rPr/>
          <w:instrText xml:space="preserve"> PAGE </w:instrText>
        </w:r>
        <w:r>
          <w:rPr/>
          <w:fldChar w:fldCharType="separate"/>
        </w:r>
        <w:r>
          <w:rPr/>
          <w:t>9</w:t>
        </w:r>
        <w:r>
          <w:rPr/>
          <w:fldChar w:fldCharType="end"/>
        </w:r>
      </w:p>
    </w:sdtContent>
  </w:sdt>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uiPriority w:val="99"/>
    <w:qFormat/>
    <w:rsid w:val="00de31f5"/>
    <w:rPr/>
  </w:style>
  <w:style w:type="character" w:styleId="Style15" w:customStyle="1">
    <w:name w:val="Нижний колонтитул Знак"/>
    <w:basedOn w:val="DefaultParagraphFont"/>
    <w:uiPriority w:val="99"/>
    <w:qFormat/>
    <w:rsid w:val="00de31f5"/>
    <w:rPr/>
  </w:style>
  <w:style w:type="character" w:styleId="apple-style-span" w:customStyle="1">
    <w:name w:val="apple-style-span"/>
    <w:qFormat/>
    <w:rsid w:val="00fe3b6b"/>
    <w:rPr/>
  </w:style>
  <w:style w:type="character" w:styleId="Style16" w:customStyle="1">
    <w:name w:val="Текст выноски Знак"/>
    <w:basedOn w:val="DefaultParagraphFont"/>
    <w:link w:val="BalloonText"/>
    <w:uiPriority w:val="99"/>
    <w:semiHidden/>
    <w:qFormat/>
    <w:rsid w:val="00b358de"/>
    <w:rPr>
      <w:rFonts w:ascii="Tahoma" w:hAnsi="Tahoma" w:cs="Tahoma"/>
      <w:sz w:val="16"/>
      <w:szCs w:val="16"/>
    </w:rPr>
  </w:style>
  <w:style w:type="character" w:styleId="InternetLink">
    <w:name w:val="Internet Link"/>
    <w:qFormat/>
    <w:rPr>
      <w:color w:val="000080"/>
      <w:u w:val="single"/>
    </w:rPr>
  </w:style>
  <w:style w:type="character" w:styleId="Hyperlink">
    <w:name w:val="Hyperlink"/>
    <w:rPr>
      <w:color w:val="000080"/>
      <w:u w:val="single"/>
    </w:rPr>
  </w:style>
  <w:style w:type="paragraph" w:styleId="Style17">
    <w:name w:val="Заголовок"/>
    <w:basedOn w:val="Normal"/>
    <w:next w:val="BodyText"/>
    <w:qFormat/>
    <w:pPr>
      <w:keepNext w:val="true"/>
      <w:spacing w:before="240" w:after="120"/>
    </w:pPr>
    <w:rPr>
      <w:rFonts w:ascii="Liberation Sans" w:hAnsi="Liberation Sans" w:eastAsia="Tahoma" w:cs="Droid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Droid Sans"/>
    </w:rPr>
  </w:style>
  <w:style w:type="paragraph" w:styleId="Caption">
    <w:name w:val="Caption"/>
    <w:basedOn w:val="Normal"/>
    <w:qFormat/>
    <w:pPr>
      <w:suppressLineNumbers/>
      <w:spacing w:before="120" w:after="120"/>
    </w:pPr>
    <w:rPr>
      <w:rFonts w:cs="Droid Sans"/>
      <w:i/>
      <w:iCs/>
      <w:sz w:val="24"/>
      <w:szCs w:val="24"/>
    </w:rPr>
  </w:style>
  <w:style w:type="paragraph" w:styleId="Style18">
    <w:name w:val="Указатель"/>
    <w:basedOn w:val="Normal"/>
    <w:qFormat/>
    <w:pPr>
      <w:suppressLineNumbers/>
    </w:pPr>
    <w:rPr>
      <w:rFonts w:cs="Droid Sans"/>
    </w:rPr>
  </w:style>
  <w:style w:type="paragraph" w:styleId="ListParagraph">
    <w:name w:val="List Paragraph"/>
    <w:basedOn w:val="Normal"/>
    <w:uiPriority w:val="34"/>
    <w:qFormat/>
    <w:rsid w:val="003d2952"/>
    <w:pPr>
      <w:spacing w:before="0" w:after="200"/>
      <w:ind w:left="720"/>
      <w:contextualSpacing/>
    </w:pPr>
    <w:rPr/>
  </w:style>
  <w:style w:type="paragraph" w:styleId="Style19" w:customStyle="1">
    <w:name w:val="Знак"/>
    <w:basedOn w:val="Normal"/>
    <w:qFormat/>
    <w:rsid w:val="0024452b"/>
    <w:pPr>
      <w:spacing w:lineRule="auto" w:line="240" w:beforeAutospacing="1" w:afterAutospacing="1"/>
    </w:pPr>
    <w:rPr>
      <w:rFonts w:ascii="Tahoma" w:hAnsi="Tahoma" w:eastAsia="Times New Roman" w:cs="Times New Roman"/>
      <w:sz w:val="20"/>
      <w:szCs w:val="20"/>
      <w:lang w:val="en-US"/>
    </w:rPr>
  </w:style>
  <w:style w:type="paragraph" w:styleId="HeaderandFooter">
    <w:name w:val="Header and Footer"/>
    <w:basedOn w:val="Normal"/>
    <w:qFormat/>
    <w:pPr/>
    <w:rPr/>
  </w:style>
  <w:style w:type="paragraph" w:styleId="Header">
    <w:name w:val="Header"/>
    <w:basedOn w:val="Normal"/>
    <w:link w:val="Style14"/>
    <w:uiPriority w:val="99"/>
    <w:unhideWhenUsed/>
    <w:rsid w:val="00de31f5"/>
    <w:pPr>
      <w:tabs>
        <w:tab w:val="clear" w:pos="708"/>
        <w:tab w:val="center" w:pos="4677" w:leader="none"/>
        <w:tab w:val="right" w:pos="9355" w:leader="none"/>
      </w:tabs>
      <w:spacing w:lineRule="auto" w:line="240" w:before="0" w:after="0"/>
    </w:pPr>
    <w:rPr/>
  </w:style>
  <w:style w:type="paragraph" w:styleId="Footer">
    <w:name w:val="Footer"/>
    <w:basedOn w:val="Normal"/>
    <w:link w:val="Style15"/>
    <w:uiPriority w:val="99"/>
    <w:unhideWhenUsed/>
    <w:rsid w:val="00de31f5"/>
    <w:pPr>
      <w:tabs>
        <w:tab w:val="clear" w:pos="708"/>
        <w:tab w:val="center" w:pos="4677" w:leader="none"/>
        <w:tab w:val="right" w:pos="9355" w:leader="none"/>
      </w:tabs>
      <w:spacing w:lineRule="auto" w:line="240" w:before="0" w:after="0"/>
    </w:pPr>
    <w:rPr/>
  </w:style>
  <w:style w:type="paragraph" w:styleId="ConsPlusNonformat" w:customStyle="1">
    <w:name w:val="ConsPlusNonformat"/>
    <w:qFormat/>
    <w:rsid w:val="00bc1752"/>
    <w:pPr>
      <w:widowControl w:val="false"/>
      <w:suppressAutoHyphens w:val="tru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ConsPlusCell" w:customStyle="1">
    <w:name w:val="ConsPlusCell"/>
    <w:qFormat/>
    <w:rsid w:val="00fe3b6b"/>
    <w:pPr>
      <w:widowControl w:val="false"/>
      <w:suppressAutoHyphens w:val="true"/>
      <w:bidi w:val="0"/>
      <w:spacing w:lineRule="auto" w:line="240" w:before="0" w:after="0"/>
      <w:jc w:val="left"/>
    </w:pPr>
    <w:rPr>
      <w:rFonts w:ascii="Arial" w:hAnsi="Arial" w:eastAsia="Times New Roman" w:cs="Arial"/>
      <w:color w:val="auto"/>
      <w:kern w:val="0"/>
      <w:sz w:val="20"/>
      <w:szCs w:val="20"/>
      <w:lang w:val="ru-RU" w:eastAsia="ru-RU" w:bidi="ar-SA"/>
    </w:rPr>
  </w:style>
  <w:style w:type="paragraph" w:styleId="BalloonText">
    <w:name w:val="Balloon Text"/>
    <w:basedOn w:val="Normal"/>
    <w:link w:val="Style16"/>
    <w:uiPriority w:val="99"/>
    <w:semiHidden/>
    <w:unhideWhenUsed/>
    <w:qFormat/>
    <w:rsid w:val="00b358de"/>
    <w:pPr>
      <w:spacing w:lineRule="auto" w:line="240" w:before="0" w:after="0"/>
    </w:pPr>
    <w:rPr>
      <w:rFonts w:ascii="Tahoma" w:hAnsi="Tahoma" w:cs="Tahoma"/>
      <w:sz w:val="16"/>
      <w:szCs w:val="16"/>
    </w:rPr>
  </w:style>
  <w:style w:type="numbering" w:styleId="Style20"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b">
    <w:name w:val="Table Grid"/>
    <w:basedOn w:val="a1"/>
    <w:uiPriority w:val="59"/>
    <w:rsid w:val="00f32d2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29F0F32ED0100347D0049A82F11403DB32E3AF38A8138F06CB1364EA761FF514C948584848a2CFE" TargetMode="External"/><Relationship Id="rId3" Type="http://schemas.openxmlformats.org/officeDocument/2006/relationships/hyperlink" Target="consultantplus://offline/ref=29F0F32ED0100347D0049A82F11403DB32E2A639A7158F06CB1364EA76a1CFE" TargetMode="External"/><Relationship Id="rId4" Type="http://schemas.openxmlformats.org/officeDocument/2006/relationships/hyperlink" Target="consultantplus://offline/ref=29F0F32ED0100347D004848FE7785DD239E1F037AE118158904362BD294FF34189a0C8E" TargetMode="External"/><Relationship Id="rId5" Type="http://schemas.openxmlformats.org/officeDocument/2006/relationships/hyperlink" Target="consultantplus://offline/ref=29F0F32ED0100347D004848FE7785DD239E1F037AE118158904262BD294FF34189085E1D0D6841DC6BB1E2AEa4C5E"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E827D-E7F9-4969-89E8-BC0C94B6B1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200</TotalTime>
  <Application>LibreOffice/24.2.6.2$Linux_X86_64 LibreOffice_project/420$Build-2</Application>
  <AppVersion>15.0000</AppVersion>
  <Pages>9</Pages>
  <Words>1630</Words>
  <Characters>13511</Characters>
  <CharactersWithSpaces>15049</CharactersWithSpaces>
  <Paragraphs>202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2021-03-22T09:14:00Z</dcterms:created>
  <dc:creator>K7-Buzina</dc:creator>
  <dc:description/>
  <dc:language>ru-RU</dc:language>
  <cp:lastModifiedBy/>
  <cp:lastPrinted>2026-07-23T11:33:07Z</cp:lastPrinted>
  <dcterms:modified xsi:type="dcterms:W3CDTF">2026-07-23T11:33:32Z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file>