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jc w:val="center"/>
        <w:rPr>
          <w:b/>
          <w:bCs/>
        </w:rPr>
      </w:pPr>
      <w:r>
        <w:rPr>
          <w:b/>
          <w:bCs/>
        </w:rPr>
        <w:t xml:space="preserve">АДМИНИСТРАЦИЯ ГОРОДА БЕРДСКА 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>
      <w:pPr>
        <w:pStyle w:val="Normal"/>
        <w:jc w:val="both"/>
        <w:rPr>
          <w:i/>
          <w:i/>
          <w:color w:val="000000"/>
        </w:rPr>
      </w:pPr>
      <w:r>
        <w:rPr>
          <w:i/>
          <w:color w:val="000000"/>
        </w:rPr>
      </w:r>
    </w:p>
    <w:p>
      <w:pPr>
        <w:pStyle w:val="Normal"/>
        <w:jc w:val="both"/>
        <w:rPr>
          <w:i/>
          <w:i/>
          <w:sz w:val="28"/>
          <w:szCs w:val="28"/>
        </w:rPr>
      </w:pPr>
      <w:r>
        <w:rPr>
          <w:sz w:val="28"/>
          <w:szCs w:val="28"/>
        </w:rPr>
        <w:t>30.12.2025                                                                                        № 4544/65</w:t>
      </w:r>
    </w:p>
    <w:p>
      <w:pPr>
        <w:pStyle w:val="1"/>
        <w:ind w:right="99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О ежегодном конкурсе 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«Лучший трудовой коллектив города Бердска»</w:t>
      </w:r>
    </w:p>
    <w:p>
      <w:pPr>
        <w:pStyle w:val="ConsPlusNormal1"/>
        <w:ind w:firstLine="540"/>
        <w:jc w:val="both"/>
        <w:rPr/>
      </w:pPr>
      <w:r>
        <w:rPr/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целью стимулирования результатов труда и активизации организаторской работы по обеспечению наилучших достижений в выполнении основных показателей социально-экономического развития города Бердска </w:t>
      </w:r>
    </w:p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Утвердить </w:t>
      </w:r>
      <w:hyperlink w:anchor="P38">
        <w:r>
          <w:rPr>
            <w:rStyle w:val="ListLabel199"/>
            <w:rFonts w:cs="Times New Roman" w:ascii="Times New Roman" w:hAnsi="Times New Roman"/>
            <w:sz w:val="28"/>
            <w:szCs w:val="28"/>
          </w:rPr>
          <w:t>положение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 ежегодном конкурсе «Лучший трудовой коллектив города Бердска» (приложение).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Признать утратившими силу постановления администрации города Бердска: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</w:t>
      </w:r>
      <w:hyperlink r:id="rId2">
        <w:r>
          <w:rPr>
            <w:rStyle w:val="ListLabel199"/>
            <w:rFonts w:cs="Times New Roman" w:ascii="Times New Roman" w:hAnsi="Times New Roman"/>
            <w:sz w:val="28"/>
            <w:szCs w:val="28"/>
          </w:rPr>
          <w:t>постановление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администрации города Бердска от 05.12.2022 № 5183 «О ежегодном конкурсе «Лучший трудовой коллектив города Бердска»;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hyperlink r:id="rId3">
        <w:r>
          <w:rPr>
            <w:rStyle w:val="ListLabel199"/>
            <w:rFonts w:cs="Times New Roman" w:ascii="Times New Roman" w:hAnsi="Times New Roman"/>
            <w:sz w:val="28"/>
            <w:szCs w:val="28"/>
          </w:rPr>
          <w:t>постановление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администрации города Бердска от 19.06.2023 № 2758/65 «О внесении изменений в постановление администрации города Бердска от 05.12.2022 № 5183 «О ежегодном конкурсе «Лучший трудовой коллектив города Бердска»;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</w:t>
      </w:r>
      <w:hyperlink r:id="rId4">
        <w:r>
          <w:rPr>
            <w:rStyle w:val="ListLabel199"/>
            <w:rFonts w:cs="Times New Roman" w:ascii="Times New Roman" w:hAnsi="Times New Roman"/>
            <w:sz w:val="28"/>
            <w:szCs w:val="28"/>
          </w:rPr>
          <w:t>постановление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администрации города Бердска от 04.12.2023 № 5651/65 «О внесении изменений в постановление администрации города Бердска от 05.12.2022 № 5183 «О ежегодном конкурсе «Лучший трудовой коллектив города Бердска»;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4) </w:t>
      </w:r>
      <w:hyperlink r:id="rId5">
        <w:r>
          <w:rPr>
            <w:rStyle w:val="ListLabel199"/>
            <w:rFonts w:cs="Times New Roman" w:ascii="Times New Roman" w:hAnsi="Times New Roman"/>
            <w:sz w:val="28"/>
            <w:szCs w:val="28"/>
          </w:rPr>
          <w:t>постановление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администрации города Бердска от 31.01.2024 № 418/65 «О внесении изменений в постановление администрации города Бердска от 05.12.2022 № 5183 «О ежегодном конкурсе «Лучший трудовой коллектив города Бердска»;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5) </w:t>
      </w:r>
      <w:hyperlink r:id="rId6">
        <w:r>
          <w:rPr>
            <w:rStyle w:val="ListLabel199"/>
            <w:rFonts w:cs="Times New Roman" w:ascii="Times New Roman" w:hAnsi="Times New Roman"/>
            <w:sz w:val="28"/>
            <w:szCs w:val="28"/>
          </w:rPr>
          <w:t>постановление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администрации города Бердска от 11.06.2024 № 2347/65 «О внесении изменений в постановление администрации города Бердска от 05.12.2022 № 5183 «О ежегодном конкурсе «Лучший трудовой коллектив города Бердска»; 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6) </w:t>
      </w:r>
      <w:hyperlink r:id="rId7">
        <w:r>
          <w:rPr>
            <w:rStyle w:val="ListLabel199"/>
            <w:rFonts w:cs="Times New Roman" w:ascii="Times New Roman" w:hAnsi="Times New Roman"/>
            <w:sz w:val="28"/>
            <w:szCs w:val="28"/>
          </w:rPr>
          <w:t>постановление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администрации города Бердска от 16.07.2024 № 2862/65 «О внесении изменений в постановление администрации города Бердска от 30.12.2021 № 3918 «О ежегодном конкурсе «Лучший трудовой коллектив города Бердска».</w:t>
      </w:r>
    </w:p>
    <w:p>
      <w:pPr>
        <w:pStyle w:val="ConsPlusNormal1"/>
        <w:numPr>
          <w:ilvl w:val="0"/>
          <w:numId w:val="12"/>
        </w:numPr>
        <w:tabs>
          <w:tab w:val="clear" w:pos="708"/>
          <w:tab w:val="left" w:pos="709" w:leader="none"/>
          <w:tab w:val="left" w:pos="993" w:leader="none"/>
        </w:tabs>
        <w:suppressAutoHyphens w:val="true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Контроль за исполнением постановления возложить на заместителя главы администрации по экономическим вопросам Шляхто В.Е.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ind w:hanging="0" w:right="-284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И. о. Главы города Бердска  </w:t>
      </w:r>
      <w:r>
        <w:rPr>
          <w:rFonts w:eastAsia="Times New Roman" w:cs="Times New Roman"/>
          <w:color w:val="D9D9D9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>С.П. Лавров</w:t>
      </w:r>
    </w:p>
    <w:p>
      <w:pPr>
        <w:pStyle w:val="Normal"/>
        <w:spacing w:lineRule="auto" w:line="259" w:before="0" w:after="160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</w:r>
      <w:r>
        <w:br w:type="page"/>
      </w:r>
    </w:p>
    <w:tbl>
      <w:tblPr>
        <w:tblStyle w:val="a5"/>
        <w:tblW w:w="4253" w:type="dxa"/>
        <w:jc w:val="left"/>
        <w:tblInd w:w="56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253"/>
      </w:tblGrid>
      <w:tr>
        <w:trPr>
          <w:trHeight w:val="1833" w:hRule="atLeast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1"/>
              <w:pageBreakBefore/>
              <w:numPr>
                <w:ilvl w:val="0"/>
                <w:numId w:val="0"/>
              </w:numPr>
              <w:spacing w:before="0"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ПРИЛОЖЕНИЕ</w:t>
            </w:r>
          </w:p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к постановлению</w:t>
            </w:r>
          </w:p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администрации города Бердска</w:t>
            </w:r>
          </w:p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от 30.12.2025 № 4544/65</w:t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>
        <w:rPr>
          <w:rFonts w:cs="Times New Roman" w:ascii="Times New Roman" w:hAnsi="Times New Roman"/>
          <w:sz w:val="28"/>
          <w:szCs w:val="28"/>
        </w:rPr>
        <w:t>ПОЛОЖЕНИЕ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ЕЖЕГОДНОМ КОНКУРСЕ 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«ЛУЧШИЙ ТРУДОВОЙ КОЛЛЕКТИВ ГОРОДА БЕРДСКА»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I. ОБЩИЕ ПОЛОЖЕНИЯ</w:t>
      </w:r>
    </w:p>
    <w:p>
      <w:pPr>
        <w:pStyle w:val="ConsPlusNormal1"/>
        <w:ind w:firstLine="540"/>
        <w:jc w:val="both"/>
        <w:rPr/>
      </w:pPr>
      <w:r>
        <w:rPr/>
      </w:r>
    </w:p>
    <w:p>
      <w:pPr>
        <w:pStyle w:val="ConsPlusNormal1"/>
        <w:numPr>
          <w:ilvl w:val="0"/>
          <w:numId w:val="2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Положение определяет порядок проведения ежегодного конкурса «Лучший трудовой коллектив города Бердска» (далее - конкурс) по итогам работы за год.</w:t>
      </w:r>
    </w:p>
    <w:p>
      <w:pPr>
        <w:pStyle w:val="ConsPlusNormal1"/>
        <w:numPr>
          <w:ilvl w:val="0"/>
          <w:numId w:val="2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Конкурс проводится в целях широкого участия трудовых коллективов в выполнении производственных задач, выявления и поощрения лучших трудовых коллективов предприятий, учреждений и организаций, расположенных на территории города Бердска, независимо от формы собственности.</w:t>
      </w:r>
    </w:p>
    <w:p>
      <w:pPr>
        <w:pStyle w:val="ConsPlusNormal1"/>
        <w:numPr>
          <w:ilvl w:val="0"/>
          <w:numId w:val="2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Конкурс проводиться ежегодно по итогам прошедшего года в сравнении с предыдущим годом.</w:t>
      </w:r>
    </w:p>
    <w:p>
      <w:pPr>
        <w:pStyle w:val="ConsPlusNormal1"/>
        <w:numPr>
          <w:ilvl w:val="0"/>
          <w:numId w:val="2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конкурсе могут участвовать трудовые коллективы организаций, их структурные подразделения, отделения, цеха, добившиеся высоких производственных показателей, принимающие активное участие в социально-экономическом развитии города, достигшие наилучших результатов в своей деятельности.</w:t>
      </w:r>
    </w:p>
    <w:p>
      <w:pPr>
        <w:pStyle w:val="ConsPlusNormal1"/>
        <w:numPr>
          <w:ilvl w:val="0"/>
          <w:numId w:val="2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Трудовому коллективу присваивается звание «Лучший трудовой коллектив» за:</w:t>
      </w:r>
    </w:p>
    <w:p>
      <w:pPr>
        <w:pStyle w:val="ConsPlusNormal1"/>
        <w:numPr>
          <w:ilvl w:val="0"/>
          <w:numId w:val="3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участие в решении важных и актуальных вопросов жизнедеятельности города;</w:t>
      </w:r>
    </w:p>
    <w:p>
      <w:pPr>
        <w:pStyle w:val="ConsPlusNormal1"/>
        <w:numPr>
          <w:ilvl w:val="0"/>
          <w:numId w:val="3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значительный вклад в социально-экономическое развитие города при следующих условиях: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высокие производственные показатели;</w:t>
      </w:r>
    </w:p>
    <w:p>
      <w:pPr>
        <w:pStyle w:val="ConsPlusNormal1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результативное участие в различных мероприятиях, смотрах, проектах, конкурсах городского, регионального, федерального и международного уровней.</w:t>
      </w:r>
    </w:p>
    <w:p>
      <w:pPr>
        <w:pStyle w:val="ConsPlusNormal1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Конкурс проводится между трудовыми коллективами по следующим номинациям: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«Лучший трудовой коллектив города Бердска в промышленности»;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«Лучший трудовой коллектив города Бердска в строительстве»;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«Лучший трудовой коллектив города Бердска в сфере жилищно-коммунального обслуживания»;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«Лучший трудовой коллектив города Бердска на потребительском рынке»;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«Лучший трудовой коллектив города Бердска в сфере транспортного обслуживания»;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6) «Лучший трудовой коллектив города Бердска в образовании»;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«Лучший трудовой коллектив города Бердска в сфере дошкольного образования»;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«Лучший трудовой коллектив города Бердска в учреждениях культуры»;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9) «Лучший трудовой коллектив города Бердска в здравоохранении»;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10) «Лучший трудовой коллектив города Бердска в учреждениях физической культуры и спорта»;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11) «Лучший трудовой коллектив города Бердска в сфере социальной защиты и социального обслуживания»;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12) «Лучший трудовой коллектив в предпринимательстве»;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13) «Лучший трудовой коллектив в сфере информации и связи»;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14) «За лучшую организацию общественной работы»;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15) «За социальную ответственность»;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16) «Репутация доверия».</w:t>
      </w:r>
    </w:p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II. ПОРЯДОК ОТБОРА УЧАСТНИКОВ И ПРОВЕДЕНИЯ КОНКУРСА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Выдвигать претендентов на участие в конкурсе могут заместители главы администрации города Бердска, руководители структурных подразделений администрации города Бердска, курирующие соответствующие направления, до 20 января года, следующего за отчетным.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Организацию и проведение конкурса осуществляет управление экономического развития администрации города Бердска.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Подведение итогов конкурса осуществляет конкурсная комиссия по проведению конкурса «Лучший трудовой коллектив города Бердска».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 участию в конкурсе допускаются все трудовые коллективы города Бердска (далее - участники).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Требования, предъявляемые к участникам: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ведут деятельность на территории города Бердска;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обеспечивают информационную открытость и доступность информации (наличие официального сайта организации в информационно-телекоммуникационной сети «Интернет»);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не имеют задолженности по уплате налогов, сборов и страховых взносов в бюджеты всех уровней и внебюджетные фонды;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безубыточная работа;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отсутствие задолженности по выплате заработной платы;</w:t>
      </w:r>
    </w:p>
    <w:p>
      <w:pPr>
        <w:pStyle w:val="ConsPlusNormal1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6) оплата труда работников не ниже 1,5 прожиточного минимума трудоспособного населения Новосибирской области на конец отчетного года.</w:t>
      </w:r>
    </w:p>
    <w:p>
      <w:pPr>
        <w:pStyle w:val="ConsPlusNormal1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Для участия в конкурсе направляются следующие документы: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1) заявка на участие в конкурсе по форме согласно приложению № 1 к настоящему Положению;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2) информация по показателям, указанным в формах согласно приложению № 2 к настоящему Положению; 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3) информация, характеризующая деятельность трудового коллектива, его достижения по показателям, указанным в п. 5 раздела </w:t>
      </w:r>
      <w:r>
        <w:rPr>
          <w:rFonts w:cs="Times New Roman" w:ascii="Times New Roman" w:hAnsi="Times New Roman"/>
          <w:b w:val="false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 настоящего Положения;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4) другие документы, представляемые по желанию участника. </w:t>
      </w:r>
    </w:p>
    <w:p>
      <w:pPr>
        <w:pStyle w:val="ConsPlusNormal1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Документы, указанные в п. 6 настоящего раздела, поступившие в конкурсную комиссию после 20 января, не рассматриваются.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8. Победителем конкурса признается трудовой коллектив, добившийся наилучших результатов в отчетном году по сравнению с предыдущим годом по показателям, указанных в п. 6 настоящего раздела.</w:t>
      </w:r>
    </w:p>
    <w:p>
      <w:pPr>
        <w:pStyle w:val="ConsPlusNormal1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Победитель конкурса не может быть повторно представлен к участию в конкурсе в течение 3-х лет.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III. ПОРЯДОК РАБОТЫ КОМИССИИ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numPr>
          <w:ilvl w:val="0"/>
          <w:numId w:val="14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 комиссии утверждается Главой города Бердска.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В состав комиссии могут входить представители администрации города Бердска, депутаты Совета депутатов города Бердска, представители Ассоциации предпринимателей города Бердска, общественных организаций города Бердска.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Председатель комиссии утверждает регламент заседания конкурсной комиссии, определяет дату заседания и повестку дня.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Решения принимаются путем открытого голосования простым большинством голосов членов комиссии.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Комиссия ведет протокол, который подписывается председателем и секретарем конкурсной комиссии.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IV. ПОДВЕДЕНИЕ ИТОГОВ КОНКУРСА, НАГРАЖДЕНИЕ ПОБЕДИТЕЛЕЙ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Конкурсная комиссия определяет победителей в каждой номинации, указанной в п. 6 раздела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настоящего Положения.</w:t>
      </w:r>
    </w:p>
    <w:p>
      <w:pPr>
        <w:pStyle w:val="ConsPlusNormal1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Суммарное число трудовых коллективов-победителей по всем номинациям составляет не более 23-х, в том числе:</w:t>
      </w:r>
      <w:r>
        <w:rPr>
          <w:color w:val="FF0000"/>
          <w:sz w:val="28"/>
          <w:szCs w:val="28"/>
        </w:rPr>
        <w:t xml:space="preserve"> 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промышленность (не более 3-х трудовых коллективов);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строительство (не более 2-х трудовых коллективов);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жилищно-коммунальное хозяйство (не более 1-го трудового коллектива);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потребительский рынок (не более 1-го трудового коллектива);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транспорт (не более 1-го трудового коллектива);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образование (не более 2-х трудовых коллективов);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дошкольное образование (не более 1-го трудового коллектива);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культура (не более 2-х трудовых коллективов);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здравоохранение (не более 2-х трудовых коллективов);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физическая культура и спорт (не более 2-х трудовых коллективов);</w:t>
      </w:r>
    </w:p>
    <w:p>
      <w:pPr>
        <w:pStyle w:val="ConsPlusNormal1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социальная защита и социальное обслуживание (не более 1-го трудового коллектива);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предпринимательство (не более 1-го трудового коллектива);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информация и связь (не более 1-го трудового коллектива);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организация общественной работы (не более 1-го трудового коллектива);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социальная ответственность (не более 1-го трудового коллектива);</w:t>
      </w:r>
    </w:p>
    <w:p>
      <w:pPr>
        <w:pStyle w:val="ConsPlusNormal1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репутация доверия (не более 1-го трудового коллектива). </w:t>
      </w:r>
    </w:p>
    <w:p>
      <w:pPr>
        <w:pStyle w:val="ConsPlusNormal1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Лучшие трудовые коллективы по итогам работы за год награждаются Дипломами муниципального образования города Бердска.</w:t>
      </w:r>
    </w:p>
    <w:p>
      <w:pPr>
        <w:pStyle w:val="ConsPlusTitle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Награждение лучших трудовых коллективов проходит на Собрании представителей трудовых коллективов предприятий, учреждений и организаций города Бердска.</w:t>
      </w:r>
    </w:p>
    <w:p>
      <w:pPr>
        <w:pStyle w:val="ConsPlusTitle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Итоги конкурса освещаются в средствах массовой информации города Бердска.</w:t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tbl>
      <w:tblPr>
        <w:tblStyle w:val="a5"/>
        <w:tblW w:w="6378" w:type="dxa"/>
        <w:jc w:val="left"/>
        <w:tblInd w:w="39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378"/>
      </w:tblGrid>
      <w:tr>
        <w:trPr/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1"/>
              <w:numPr>
                <w:ilvl w:val="0"/>
                <w:numId w:val="0"/>
              </w:numPr>
              <w:spacing w:before="0"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ПРИЛОЖЕНИЕ № 1</w:t>
            </w:r>
          </w:p>
          <w:p>
            <w:pPr>
              <w:pStyle w:val="ConsPlusTitle"/>
              <w:spacing w:before="0" w:after="0"/>
              <w:jc w:val="center"/>
              <w:rPr>
                <w:rFonts w:ascii="Times New Roman" w:hAnsi="Times New Roman" w:cs="Times New Roman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bidi="ar-SA"/>
              </w:rPr>
              <w:t>к Положению о ежегодном конкурсе</w:t>
            </w:r>
          </w:p>
          <w:p>
            <w:pPr>
              <w:pStyle w:val="ConsPlusTitle"/>
              <w:spacing w:before="0" w:after="0"/>
              <w:jc w:val="center"/>
              <w:rPr>
                <w:rFonts w:ascii="Times New Roman" w:hAnsi="Times New Roman" w:cs="Times New Roman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bidi="ar-SA"/>
              </w:rPr>
              <w:t>«Лучший трудовой коллектив города Бердска»</w:t>
            </w:r>
          </w:p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бланке организации</w:t>
      </w:r>
    </w:p>
    <w:p>
      <w:pPr>
        <w:pStyle w:val="ConsPlusNormal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Заявка 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на участие в конкурсе </w:t>
      </w:r>
      <w:r>
        <w:rPr>
          <w:b/>
          <w:sz w:val="28"/>
        </w:rPr>
        <w:t>«Лучший трудовой коллектив города Бердска»</w:t>
      </w:r>
    </w:p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ConsPlusNormal1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(полное наименование организации-заявителя)</w:t>
      </w:r>
    </w:p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зарегистрирован _______________________________ г.</w:t>
      </w:r>
    </w:p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ConsPlusNormal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(орган, зарегистрировавший организацию-заявителя)</w:t>
      </w:r>
    </w:p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чем выдано свидетельство № _______________________________________</w:t>
      </w:r>
    </w:p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ConsPlusNormal1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заявляет о своем намерении принять участие в конкурсе </w:t>
      </w:r>
      <w:r>
        <w:rPr>
          <w:rFonts w:cs="Times New Roman" w:ascii="Times New Roman" w:hAnsi="Times New Roman"/>
          <w:sz w:val="28"/>
        </w:rPr>
        <w:t>«Лучший трудовой коллектив города Бердска».</w:t>
      </w:r>
    </w:p>
    <w:p>
      <w:pPr>
        <w:pStyle w:val="ConsPlusNormal1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PlusTitle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sz w:val="28"/>
        </w:rPr>
        <w:tab/>
      </w:r>
      <w:r>
        <w:rPr>
          <w:rFonts w:cs="Times New Roman" w:ascii="Times New Roman" w:hAnsi="Times New Roman"/>
          <w:b w:val="false"/>
          <w:sz w:val="28"/>
        </w:rPr>
        <w:t xml:space="preserve">С Положением </w:t>
      </w:r>
      <w:r>
        <w:rPr>
          <w:rFonts w:cs="Times New Roman" w:ascii="Times New Roman" w:hAnsi="Times New Roman"/>
          <w:b w:val="false"/>
          <w:sz w:val="28"/>
          <w:szCs w:val="28"/>
        </w:rPr>
        <w:t>о ежегодном конкурсе «Лучший трудовой коллектив города Бердска» ознакомлены и согласны.</w:t>
      </w:r>
    </w:p>
    <w:p>
      <w:pPr>
        <w:pStyle w:val="ConsPlusTitle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К настоящей заявке прилагаются:</w:t>
      </w:r>
    </w:p>
    <w:p>
      <w:pPr>
        <w:pStyle w:val="ConsPlusTitle"/>
        <w:numPr>
          <w:ilvl w:val="0"/>
          <w:numId w:val="13"/>
        </w:numPr>
        <w:tabs>
          <w:tab w:val="clear" w:pos="708"/>
          <w:tab w:val="left" w:pos="709" w:leader="none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sz w:val="28"/>
          <w:szCs w:val="28"/>
        </w:rPr>
        <w:t>информация по показателям, указанным в приложении 2 к Положению о ежегодном конкурсе «Лучший трудовой коллектив города Бердска»;</w:t>
      </w:r>
    </w:p>
    <w:p>
      <w:pPr>
        <w:pStyle w:val="ConsPlusTitle"/>
        <w:numPr>
          <w:ilvl w:val="0"/>
          <w:numId w:val="13"/>
        </w:numPr>
        <w:tabs>
          <w:tab w:val="clear" w:pos="708"/>
          <w:tab w:val="left" w:pos="709" w:leader="none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информация, характеризующая деятельность трудового коллектива в предыдущем году;</w:t>
      </w:r>
    </w:p>
    <w:p>
      <w:pPr>
        <w:pStyle w:val="ConsPlusTitle"/>
        <w:numPr>
          <w:ilvl w:val="0"/>
          <w:numId w:val="13"/>
        </w:numPr>
        <w:tabs>
          <w:tab w:val="clear" w:pos="708"/>
          <w:tab w:val="left" w:pos="709" w:leader="none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sz w:val="28"/>
          <w:szCs w:val="28"/>
        </w:rPr>
        <w:t>заслуги, материалы, свидетельствующие о признании этих заслуг, грамоты, дипломы.;</w:t>
      </w:r>
    </w:p>
    <w:p>
      <w:pPr>
        <w:pStyle w:val="ConsPlusTitle"/>
        <w:numPr>
          <w:ilvl w:val="0"/>
          <w:numId w:val="13"/>
        </w:numPr>
        <w:tabs>
          <w:tab w:val="clear" w:pos="708"/>
          <w:tab w:val="left" w:pos="709" w:leader="none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информация о наличии (отсутствии) задолженности по выплате заработной платы;</w:t>
      </w:r>
    </w:p>
    <w:p>
      <w:pPr>
        <w:pStyle w:val="ConsPlusTitle"/>
        <w:numPr>
          <w:ilvl w:val="0"/>
          <w:numId w:val="13"/>
        </w:numPr>
        <w:tabs>
          <w:tab w:val="clear" w:pos="708"/>
          <w:tab w:val="left" w:pos="709" w:leader="none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информация о наличии (отсутствии) задолженности по платежам в бюджеты и внебюджетные фонды;</w:t>
      </w:r>
    </w:p>
    <w:p>
      <w:pPr>
        <w:pStyle w:val="ConsPlusTitle"/>
        <w:numPr>
          <w:ilvl w:val="0"/>
          <w:numId w:val="13"/>
        </w:numPr>
        <w:tabs>
          <w:tab w:val="clear" w:pos="708"/>
          <w:tab w:val="left" w:pos="709" w:leader="none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другие документы, представленные по желанию участника конкурса (указать).</w:t>
      </w:r>
    </w:p>
    <w:p>
      <w:pPr>
        <w:pStyle w:val="ConsPlusTitle"/>
        <w:tabs>
          <w:tab w:val="clear" w:pos="708"/>
          <w:tab w:val="left" w:pos="709" w:leader="none"/>
          <w:tab w:val="left" w:pos="993" w:leader="none"/>
        </w:tabs>
        <w:ind w:left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709" w:leader="none"/>
          <w:tab w:val="left" w:pos="993" w:leader="none"/>
        </w:tabs>
        <w:ind w:left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709" w:leader="none"/>
          <w:tab w:val="left" w:pos="993" w:leader="none"/>
        </w:tabs>
        <w:ind w:hanging="709" w:left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Руководитель организации  _______________ (_________________________)</w:t>
      </w:r>
    </w:p>
    <w:p>
      <w:pPr>
        <w:pStyle w:val="ConsPlusTitle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                                             </w:t>
      </w:r>
      <w:r>
        <w:rPr>
          <w:rFonts w:cs="Times New Roman" w:ascii="Times New Roman" w:hAnsi="Times New Roman"/>
          <w:b w:val="false"/>
          <w:sz w:val="20"/>
          <w:szCs w:val="20"/>
        </w:rPr>
        <w:t>(подпись)                                                  (ФИО)</w:t>
      </w:r>
    </w:p>
    <w:p>
      <w:pPr>
        <w:pStyle w:val="ConsPlusTitle"/>
        <w:tabs>
          <w:tab w:val="clear" w:pos="708"/>
          <w:tab w:val="left" w:pos="993" w:leader="none"/>
        </w:tabs>
        <w:ind w:hanging="709" w:left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Главный бухгалтер ____________________ (___________________________)</w:t>
      </w:r>
    </w:p>
    <w:p>
      <w:pPr>
        <w:pStyle w:val="ConsPlusTitle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 xml:space="preserve">                                                     </w:t>
      </w:r>
      <w:r>
        <w:rPr>
          <w:rFonts w:cs="Times New Roman" w:ascii="Times New Roman" w:hAnsi="Times New Roman"/>
          <w:b w:val="false"/>
          <w:sz w:val="20"/>
          <w:szCs w:val="20"/>
        </w:rPr>
        <w:t>(подпись)                                                  (ФИО)</w:t>
      </w:r>
    </w:p>
    <w:p>
      <w:pPr>
        <w:pStyle w:val="ConsPlusTitle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МП (при наличии) «_______» _________________ 20____ г.</w:t>
      </w:r>
    </w:p>
    <w:p>
      <w:pPr>
        <w:pStyle w:val="ConsPlusTitle"/>
        <w:tabs>
          <w:tab w:val="clear" w:pos="708"/>
          <w:tab w:val="left" w:pos="993" w:leader="none"/>
        </w:tabs>
        <w:ind w:left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                                              </w:t>
      </w:r>
    </w:p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_________</w:t>
      </w:r>
    </w:p>
    <w:tbl>
      <w:tblPr>
        <w:tblStyle w:val="a5"/>
        <w:tblW w:w="5953" w:type="dxa"/>
        <w:jc w:val="left"/>
        <w:tblInd w:w="39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953"/>
      </w:tblGrid>
      <w:tr>
        <w:trPr/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1"/>
              <w:numPr>
                <w:ilvl w:val="0"/>
                <w:numId w:val="0"/>
              </w:numPr>
              <w:spacing w:before="0" w:after="0"/>
              <w:ind w:firstLine="105" w:left="-105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ПРИЛОЖЕНИЕ № 2</w:t>
            </w:r>
          </w:p>
          <w:p>
            <w:pPr>
              <w:pStyle w:val="ConsPlusTitle"/>
              <w:spacing w:before="0" w:after="0"/>
              <w:jc w:val="center"/>
              <w:rPr>
                <w:rFonts w:ascii="Times New Roman" w:hAnsi="Times New Roman" w:cs="Times New Roman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bidi="ar-SA"/>
              </w:rPr>
              <w:t>к Положению о ежегодном конкурсе</w:t>
            </w:r>
          </w:p>
          <w:p>
            <w:pPr>
              <w:pStyle w:val="ConsPlusTitle"/>
              <w:spacing w:before="0" w:after="0"/>
              <w:jc w:val="center"/>
              <w:rPr>
                <w:rFonts w:ascii="Times New Roman" w:hAnsi="Times New Roman" w:cs="Times New Roman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bidi="ar-SA"/>
              </w:rPr>
              <w:t>«Лучший трудовой коллектив города Бердска»</w:t>
            </w:r>
          </w:p>
        </w:tc>
      </w:tr>
    </w:tbl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</w:t>
      </w:r>
    </w:p>
    <w:p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показателям социально-экономического развития</w:t>
      </w:r>
    </w:p>
    <w:p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</w:t>
      </w:r>
    </w:p>
    <w:p>
      <w:pPr>
        <w:pStyle w:val="ConsPlusNormal1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наименование организации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участия в ежегодном конкурсе 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«Лучший трудовой коллектив города Бердска» 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Normal1"/>
        <w:numPr>
          <w:ilvl w:val="0"/>
          <w:numId w:val="5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Промышленность, строительство, жилищно-коммунальное хозяйство, транспорт, информатизация и связь</w:t>
      </w:r>
    </w:p>
    <w:tbl>
      <w:tblPr>
        <w:tblStyle w:val="a5"/>
        <w:tblW w:w="1006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19"/>
        <w:gridCol w:w="5107"/>
        <w:gridCol w:w="1236"/>
        <w:gridCol w:w="1238"/>
        <w:gridCol w:w="1660"/>
      </w:tblGrid>
      <w:tr>
        <w:trPr>
          <w:tblHeader w:val="true"/>
        </w:trPr>
        <w:tc>
          <w:tcPr>
            <w:tcW w:w="819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5107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Показатели</w:t>
            </w:r>
          </w:p>
        </w:tc>
        <w:tc>
          <w:tcPr>
            <w:tcW w:w="1236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660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% к предыдущему году</w:t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Объем отгруженных товаров собственного производства,  выполненных работ и услуг собственными силами организаций, тыс. руб.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Сумма годовой прибыли, тыс. руб.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Увеличение ассортимента продукции, вида услуг, ед.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Внедрение новых технологий, выпуск новых видов продукции, услуг, тыс. руб.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Использование ресурсосберегающих и экологически чистых технологий при производстве товаров и услуг (Федеральный проект «Производительность труда»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90" w:hRule="atLeast"/>
        </w:trPr>
        <w:tc>
          <w:tcPr>
            <w:tcW w:w="819" w:type="dxa"/>
            <w:vMerge w:val="restart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Ввод в действие, тыс. кв. м (для строительства):</w:t>
            </w:r>
          </w:p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жилья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15" w:hRule="atLeast"/>
        </w:trPr>
        <w:tc>
          <w:tcPr>
            <w:tcW w:w="819" w:type="dxa"/>
            <w:vMerge w:val="continue"/>
            <w:tcBorders/>
            <w:vAlign w:val="center"/>
          </w:tcPr>
          <w:p>
            <w:pPr>
              <w:pStyle w:val="ConsPlusNormal1"/>
              <w:numPr>
                <w:ilvl w:val="0"/>
                <w:numId w:val="0"/>
              </w:numPr>
              <w:spacing w:before="0" w:after="0"/>
              <w:ind w:hanging="0"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объектов производственного назначения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277" w:hRule="atLeast"/>
        </w:trPr>
        <w:tc>
          <w:tcPr>
            <w:tcW w:w="819" w:type="dxa"/>
            <w:vMerge w:val="continue"/>
            <w:tcBorders/>
            <w:vAlign w:val="center"/>
          </w:tcPr>
          <w:p>
            <w:pPr>
              <w:pStyle w:val="ConsPlusNormal1"/>
              <w:numPr>
                <w:ilvl w:val="0"/>
                <w:numId w:val="0"/>
              </w:numPr>
              <w:spacing w:before="0" w:after="0"/>
              <w:ind w:hanging="0"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объектов социального назначения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стоимость 1-го квадратного метра общей площади жилья,   тыс. руб. (для строительства)</w:t>
            </w:r>
          </w:p>
        </w:tc>
        <w:tc>
          <w:tcPr>
            <w:tcW w:w="1236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Соблюдение сроков сдачи строительных объектов</w:t>
            </w:r>
          </w:p>
        </w:tc>
        <w:tc>
          <w:tcPr>
            <w:tcW w:w="1236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Перевезено пассажиров автомобильным транспортом (для транспорта), тыс. чел.</w:t>
            </w:r>
          </w:p>
        </w:tc>
        <w:tc>
          <w:tcPr>
            <w:tcW w:w="1236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Доходы от перевозки пассажиров (для транспорта), тыс. руб.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Перевезено грузов автомобильным транспортом, (для транспорта), тыс. тонн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численность работающих, чел.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месячная заработная плата, руб.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минимальной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9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работников, прошедших переподготовку и повышение квалификации, чел.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580" w:hRule="atLeast"/>
        </w:trPr>
        <w:tc>
          <w:tcPr>
            <w:tcW w:w="819" w:type="dxa"/>
            <w:vMerge w:val="restart"/>
            <w:tcBorders/>
            <w:vAlign w:val="center"/>
          </w:tcPr>
          <w:p>
            <w:pPr>
              <w:pStyle w:val="ConsPlusNormal1"/>
              <w:numPr>
                <w:ilvl w:val="0"/>
                <w:numId w:val="4"/>
              </w:numPr>
              <w:spacing w:before="0" w:after="0"/>
              <w:ind w:hanging="0"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несчастных случаев на производстве, ед.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240" w:hRule="atLeast"/>
        </w:trPr>
        <w:tc>
          <w:tcPr>
            <w:tcW w:w="819" w:type="dxa"/>
            <w:vMerge w:val="continue"/>
            <w:tcBorders/>
            <w:vAlign w:val="center"/>
          </w:tcPr>
          <w:p>
            <w:pPr>
              <w:pStyle w:val="ConsPlusNormal1"/>
              <w:numPr>
                <w:ilvl w:val="0"/>
                <w:numId w:val="0"/>
              </w:numPr>
              <w:spacing w:before="0" w:after="0"/>
              <w:ind w:hanging="0"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07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из них тяжелых</w:t>
            </w:r>
          </w:p>
        </w:tc>
        <w:tc>
          <w:tcPr>
            <w:tcW w:w="12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3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Потребительский рынок, предпринимательство</w:t>
      </w:r>
    </w:p>
    <w:tbl>
      <w:tblPr>
        <w:tblStyle w:val="a5"/>
        <w:tblW w:w="1006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10"/>
        <w:gridCol w:w="5040"/>
        <w:gridCol w:w="1224"/>
        <w:gridCol w:w="1226"/>
        <w:gridCol w:w="1660"/>
      </w:tblGrid>
      <w:tr>
        <w:trPr>
          <w:tblHeader w:val="true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5040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Показатели</w:t>
            </w:r>
          </w:p>
        </w:tc>
        <w:tc>
          <w:tcPr>
            <w:tcW w:w="1224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660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% к предыдущему году</w:t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6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4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Совокупный объем деятельности, тыс. руб.</w:t>
            </w:r>
          </w:p>
        </w:tc>
        <w:tc>
          <w:tcPr>
            <w:tcW w:w="1224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6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4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Оборот розничной торговли/общественного питания/платных услуг населению, тыс. руб.</w:t>
            </w:r>
          </w:p>
        </w:tc>
        <w:tc>
          <w:tcPr>
            <w:tcW w:w="1224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6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4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Сумма годовой прибыли, тыс. руб.</w:t>
            </w:r>
          </w:p>
        </w:tc>
        <w:tc>
          <w:tcPr>
            <w:tcW w:w="1224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6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4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Внедрение новых технологий, выпуск новых видов продукции, услуг, тыс. руб.</w:t>
            </w:r>
          </w:p>
        </w:tc>
        <w:tc>
          <w:tcPr>
            <w:tcW w:w="1224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6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4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численность работающих, чел.</w:t>
            </w:r>
          </w:p>
        </w:tc>
        <w:tc>
          <w:tcPr>
            <w:tcW w:w="1224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6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4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месячная заработная плата, руб.</w:t>
            </w:r>
          </w:p>
        </w:tc>
        <w:tc>
          <w:tcPr>
            <w:tcW w:w="1224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6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4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224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6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4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минимальной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224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vMerge w:val="restart"/>
            <w:tcBorders/>
            <w:vAlign w:val="center"/>
          </w:tcPr>
          <w:p>
            <w:pPr>
              <w:pStyle w:val="ConsPlusNormal1"/>
              <w:spacing w:before="0" w:after="0"/>
              <w:ind w:lef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9.</w:t>
            </w:r>
          </w:p>
        </w:tc>
        <w:tc>
          <w:tcPr>
            <w:tcW w:w="504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несчастных случаев на производстве, ед.</w:t>
            </w:r>
          </w:p>
        </w:tc>
        <w:tc>
          <w:tcPr>
            <w:tcW w:w="1224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vMerge w:val="continue"/>
            <w:tcBorders/>
            <w:vAlign w:val="center"/>
          </w:tcPr>
          <w:p>
            <w:pPr>
              <w:pStyle w:val="ConsPlusNormal1"/>
              <w:spacing w:before="0" w:after="0"/>
              <w:ind w:lef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4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из них тяжелых</w:t>
            </w:r>
          </w:p>
        </w:tc>
        <w:tc>
          <w:tcPr>
            <w:tcW w:w="1224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Здравоохранение </w:t>
      </w:r>
    </w:p>
    <w:tbl>
      <w:tblPr>
        <w:tblStyle w:val="a5"/>
        <w:tblW w:w="1006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10"/>
        <w:gridCol w:w="5036"/>
        <w:gridCol w:w="1226"/>
        <w:gridCol w:w="1228"/>
        <w:gridCol w:w="1660"/>
      </w:tblGrid>
      <w:tr>
        <w:trPr>
          <w:tblHeader w:val="true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5036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Показатели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660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% к предыдущему году</w:t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Удовлетворенность качеством предоставления образовательных услуг по результатам проведения независимой оценки качества услуг (по данным сайта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bus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gov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ru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Число детей, умерших в возрасте до 1 года, на 1000 родившихся живыми, чел.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Охват работающего населения   профилактическими осмотрами,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Охват диспансерным наблюдением,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Уровень иммунопрофилактики,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Удельный вес работающих до 35 лет от общей численности работающих,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численность работающих, чел.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месячная заработная плата, руб.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минимальной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ind w:lef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10.</w:t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работников, прошедших профессиональную переподготовку и  повышение квалификации, в общем количестве работников, подлежащих переаттестации,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Общее образование, дошкольное образование</w:t>
      </w:r>
    </w:p>
    <w:tbl>
      <w:tblPr>
        <w:tblStyle w:val="a5"/>
        <w:tblW w:w="1006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11"/>
        <w:gridCol w:w="5035"/>
        <w:gridCol w:w="1226"/>
        <w:gridCol w:w="1228"/>
        <w:gridCol w:w="1660"/>
      </w:tblGrid>
      <w:tr>
        <w:trPr>
          <w:tblHeader w:val="true"/>
        </w:trPr>
        <w:tc>
          <w:tcPr>
            <w:tcW w:w="911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5035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Показатели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660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% к предыдущему году</w:t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Удовлетворенность качеством предоставления услуг по результатам проведения независимой оценки качества услуг (по данным сайта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bus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gov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ru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количества обучающихся и количества участвующих в мероприятиях различного уровня,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количества победителей и призеров в мероприятиях различного уровня в общем количестве участвующих,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работников, прошедших профессиональную переподготовку и  повышение квалификации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Доля педагогов, имеющих высшую и первую квалификационные категории, % от общего количества педагогов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Удельный вес работающих до 35 лет от общей численности работающих,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Cs w:val="20"/>
                <w:lang w:val="ru-RU" w:bidi="ar-SA"/>
              </w:rPr>
              <w:t>Участие педагогов в профессиональных конкурсах,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учащихся победителей и призеров предметных олимпиад профессионального мастерства, чемпионатов «Молодые профессионалы», «Амбилиникс» (для организаций профессионального образования),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Востребованность специалистов-выпускников на рынке труда (для организаций профессионального образования),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численность работающих, чел.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месячная заработная плата, руб.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среднемесячной заработной платы работников с уровнем прожиточного минимума трудоспособного населения Новосибирской области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минимальной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1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5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Результативность участия в проектах, грантах,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Культура</w:t>
      </w:r>
    </w:p>
    <w:tbl>
      <w:tblPr>
        <w:tblStyle w:val="a5"/>
        <w:tblW w:w="1006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10"/>
        <w:gridCol w:w="5036"/>
        <w:gridCol w:w="1226"/>
        <w:gridCol w:w="1228"/>
        <w:gridCol w:w="1660"/>
      </w:tblGrid>
      <w:tr>
        <w:trPr>
          <w:tblHeader w:val="true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5036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Показатели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660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% к предыдущему году</w:t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Удовлетворенность качеством предоставления  услуг по результатам проведения независимой оценки качества услуг (по данным сайта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bus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gov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ru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ind w:lef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Культурно-досуговые учреждения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проведенных мероприятий, ед.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зрителей, тыс. чел.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привлеченных к участию в самодеятельном художественном творчестве, чел.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ind w:lef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Библиотеки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Объем фонда библиотек, ты. ед.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зарегистрированных пользователей библиотек, чел.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проведенных мероприятий, ед.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ind w:left="3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Музеи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единиц хранения фондов музея, тыс. ед.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посетителей, тыс. чел.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проведенных мероприятий                  (выставок, экскурсий), ед.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ind w:lef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Общие показатели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количества победителей и призеров в мероприятиях различного уровня в общем количестве участвующих,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численность работающих, чел.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месячная заработная плата, руб.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минимальной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Доходы от оказания платных услуг, тыс. руб.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Результативность участия в проектах, грантах,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Физическая культура и спорт</w:t>
      </w:r>
    </w:p>
    <w:tbl>
      <w:tblPr>
        <w:tblStyle w:val="a5"/>
        <w:tblW w:w="9807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10"/>
        <w:gridCol w:w="4859"/>
        <w:gridCol w:w="1189"/>
        <w:gridCol w:w="1188"/>
        <w:gridCol w:w="1661"/>
      </w:tblGrid>
      <w:tr>
        <w:trPr>
          <w:tblHeader w:val="true"/>
          <w:trHeight w:val="836" w:hRule="atLeast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4859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Показатели</w:t>
            </w:r>
          </w:p>
        </w:tc>
        <w:tc>
          <w:tcPr>
            <w:tcW w:w="1189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661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% к предыдущему году</w:t>
            </w:r>
          </w:p>
        </w:tc>
      </w:tr>
      <w:tr>
        <w:trPr>
          <w:trHeight w:val="836" w:hRule="atLeast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85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количества обучающихся и количества участвующих в мероприятиях различного уровня, %</w:t>
            </w:r>
          </w:p>
        </w:tc>
        <w:tc>
          <w:tcPr>
            <w:tcW w:w="118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1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826" w:hRule="atLeast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85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количества победителей и призеров в мероприятиях (соревнованиях, сборах) различного уровня в общем количестве участвующих, %</w:t>
            </w:r>
          </w:p>
        </w:tc>
        <w:tc>
          <w:tcPr>
            <w:tcW w:w="118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1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22" w:hRule="atLeast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485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численность работающих, чел.</w:t>
            </w:r>
          </w:p>
        </w:tc>
        <w:tc>
          <w:tcPr>
            <w:tcW w:w="118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1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22" w:hRule="atLeast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485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месячная заработная плата, руб.</w:t>
            </w:r>
          </w:p>
        </w:tc>
        <w:tc>
          <w:tcPr>
            <w:tcW w:w="118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1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1118" w:hRule="atLeast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485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18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1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1162" w:hRule="atLeast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485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минимальной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18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1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793" w:hRule="atLeast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ind w:lef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485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работников, прошедших профессиональную переподготовку и  повышение квалификации</w:t>
            </w:r>
          </w:p>
        </w:tc>
        <w:tc>
          <w:tcPr>
            <w:tcW w:w="118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1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836" w:hRule="atLeast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ind w:lef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485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Доля преподавателей, имеющих высшую и первую квалификационные категории, % от общего количества преподавателей</w:t>
            </w:r>
          </w:p>
        </w:tc>
        <w:tc>
          <w:tcPr>
            <w:tcW w:w="118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1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533" w:hRule="atLeast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ind w:lef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9.</w:t>
            </w:r>
          </w:p>
        </w:tc>
        <w:tc>
          <w:tcPr>
            <w:tcW w:w="485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Результативность участия в проектах, грантах, %</w:t>
            </w:r>
          </w:p>
        </w:tc>
        <w:tc>
          <w:tcPr>
            <w:tcW w:w="118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1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07" w:hRule="atLeast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ind w:lef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10.</w:t>
            </w:r>
          </w:p>
        </w:tc>
        <w:tc>
          <w:tcPr>
            <w:tcW w:w="485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Доходы от оказания платных услуг, тыс. руб.</w:t>
            </w:r>
          </w:p>
        </w:tc>
        <w:tc>
          <w:tcPr>
            <w:tcW w:w="1189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1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Социальная защита и социальное обслуживание</w:t>
      </w:r>
    </w:p>
    <w:tbl>
      <w:tblPr>
        <w:tblStyle w:val="a5"/>
        <w:tblW w:w="1006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10"/>
        <w:gridCol w:w="5036"/>
        <w:gridCol w:w="1226"/>
        <w:gridCol w:w="1228"/>
        <w:gridCol w:w="1660"/>
      </w:tblGrid>
      <w:tr>
        <w:trPr>
          <w:tblHeader w:val="true"/>
        </w:trPr>
        <w:tc>
          <w:tcPr>
            <w:tcW w:w="910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5036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Показатели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20___ г.</w:t>
            </w:r>
          </w:p>
        </w:tc>
        <w:tc>
          <w:tcPr>
            <w:tcW w:w="1660" w:type="dxa"/>
            <w:tcBorders/>
            <w:vAlign w:val="center"/>
          </w:tcPr>
          <w:p>
            <w:pPr>
              <w:pStyle w:val="ConsPlusNormal1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% к предыдущему году</w:t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0"/>
              </w:num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Удовлетворенность качеством предоставления  услуг по результатам проведения независимой оценки качества услуг (по данным сайта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bus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gov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ru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Комфортность условий и доступность получения услуг, в том числе для граждан с ограниченными возможностями здоровья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Удельный вес работников, фактически занятых оказанием социальных услуг, в общем количестве работников,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численность работающих, чел.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Средняя месячная заработная плата, руб.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Соотношение минимальной среднемесячной заработной платы работников к уровню прожиточного минимума трудоспособного населения Новосибирской области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10" w:type="dxa"/>
            <w:tcBorders/>
            <w:vAlign w:val="center"/>
          </w:tcPr>
          <w:p>
            <w:pPr>
              <w:pStyle w:val="ConsPlusNormal1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Результативность участия в проектах, грантах, %</w:t>
            </w:r>
          </w:p>
        </w:tc>
        <w:tc>
          <w:tcPr>
            <w:tcW w:w="1226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28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60" w:type="dxa"/>
            <w:tcBorders/>
          </w:tcPr>
          <w:p>
            <w:pPr>
              <w:pStyle w:val="ConsPlusNormal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  <w:t xml:space="preserve">                                                                                       </w:t>
      </w:r>
      <w:r>
        <w:rPr/>
        <w:t>______________</w:t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29" w:hanging="4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5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3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776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b2776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4b2de3"/>
    <w:rPr>
      <w:rFonts w:ascii="Segoe UI" w:hAnsi="Segoe UI" w:eastAsia="Times New Roman" w:cs="Segoe UI"/>
      <w:sz w:val="18"/>
      <w:szCs w:val="18"/>
      <w:lang w:eastAsia="ru-RU"/>
    </w:rPr>
  </w:style>
  <w:style w:type="character" w:styleId="ConsPlusNormal" w:customStyle="1">
    <w:name w:val="ConsPlusNormal Знак"/>
    <w:link w:val="ConsPlusNormal1"/>
    <w:qFormat/>
    <w:locked/>
    <w:rsid w:val="00c53b71"/>
    <w:rPr>
      <w:rFonts w:ascii="Calibri" w:hAnsi="Calibri" w:eastAsia="" w:cs="Calibri" w:eastAsiaTheme="minorEastAsia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4"/>
    <w:rsid w:val="00b2776d"/>
    <w:pPr>
      <w:jc w:val="both"/>
    </w:pPr>
    <w:rPr>
      <w:sz w:val="28"/>
      <w:szCs w:val="28"/>
    </w:rPr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Droid Sans"/>
    </w:rPr>
  </w:style>
  <w:style w:type="paragraph" w:styleId="ConsPlusNormal1" w:customStyle="1">
    <w:name w:val="ConsPlusNormal"/>
    <w:link w:val="ConsPlusNormal"/>
    <w:qFormat/>
    <w:rsid w:val="00b2776d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Title" w:customStyle="1">
    <w:name w:val="ConsPlusTitle"/>
    <w:qFormat/>
    <w:rsid w:val="00b2776d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1" w:customStyle="1">
    <w:name w:val="Обычный1"/>
    <w:qFormat/>
    <w:rsid w:val="00b2776d"/>
    <w:pPr>
      <w:widowControl/>
      <w:bidi w:val="0"/>
      <w:snapToGrid w:val="false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b2776d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4b2de3"/>
    <w:pPr/>
    <w:rPr>
      <w:rFonts w:ascii="Segoe UI" w:hAnsi="Segoe UI" w:cs="Segoe UI"/>
      <w:sz w:val="18"/>
      <w:szCs w:val="18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b277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049&amp;n=145953" TargetMode="External"/><Relationship Id="rId3" Type="http://schemas.openxmlformats.org/officeDocument/2006/relationships/hyperlink" Target="https://login.consultant.ru/link/?req=doc&amp;base=RLAW049&amp;n=145854" TargetMode="External"/><Relationship Id="rId4" Type="http://schemas.openxmlformats.org/officeDocument/2006/relationships/hyperlink" Target="https://login.consultant.ru/link/?req=doc&amp;base=RLAW049&amp;n=145854" TargetMode="External"/><Relationship Id="rId5" Type="http://schemas.openxmlformats.org/officeDocument/2006/relationships/hyperlink" Target="https://login.consultant.ru/link/?req=doc&amp;base=RLAW049&amp;n=113342" TargetMode="External"/><Relationship Id="rId6" Type="http://schemas.openxmlformats.org/officeDocument/2006/relationships/hyperlink" Target="https://login.consultant.ru/link/?req=doc&amp;base=RLAW049&amp;n=113342" TargetMode="External"/><Relationship Id="rId7" Type="http://schemas.openxmlformats.org/officeDocument/2006/relationships/hyperlink" Target="https://login.consultant.ru/link/?req=doc&amp;base=RLAW049&amp;n=113342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B3E0E-8C80-433B-B2E0-57FAC3E10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Application>LibreOffice/24.2.4.2$Linux_X86_64 LibreOffice_project/51a6219feb6075d9a4c46691dcfe0cd9c4fff3c2</Application>
  <AppVersion>15.0000</AppVersion>
  <Pages>14</Pages>
  <Words>2312</Words>
  <Characters>16849</Characters>
  <CharactersWithSpaces>19363</CharactersWithSpaces>
  <Paragraphs>362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2025-12-23T06:48:00Z</dcterms:created>
  <dc:creator>User235</dc:creator>
  <dc:description/>
  <dc:language>ru-RU</dc:language>
  <cp:lastModifiedBy/>
  <cp:lastPrinted>2025-12-30T02:03:00Z</cp:lastPrinted>
  <dcterms:modified xsi:type="dcterms:W3CDTF">2026-01-14T15:28:46Z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